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52AAA" w14:textId="77777777" w:rsidR="00AB0B6E" w:rsidRDefault="00000000">
      <w:pPr>
        <w:pStyle w:val="affffffc"/>
        <w:framePr w:wrap="around" w:vAnchor="page" w:hAnchor="page" w:x="1849" w:y="1393"/>
        <w:rPr>
          <w:highlight w:val="yellow"/>
        </w:rPr>
      </w:pPr>
      <w:r>
        <w:rPr>
          <w:rFonts w:ascii="Times New Roman"/>
        </w:rPr>
        <w:t>ICS</w:t>
      </w:r>
      <w:r>
        <w:rPr>
          <w:rFonts w:hAnsi="黑体"/>
        </w:rPr>
        <w:t> </w:t>
      </w:r>
      <w:r>
        <w:rPr>
          <w:rFonts w:ascii="Times New Roman"/>
        </w:rPr>
        <w:fldChar w:fldCharType="begin">
          <w:ffData>
            <w:name w:val="ICS"/>
            <w:enabled/>
            <w:calcOnExit w:val="0"/>
            <w:helpText w:type="text" w:val="请输入正确的ICS号："/>
            <w:textInput>
              <w:default w:val="01.040.93"/>
            </w:textInput>
          </w:ffData>
        </w:fldChar>
      </w:r>
      <w:bookmarkStart w:id="0" w:name="ICS"/>
      <w:r>
        <w:rPr>
          <w:rFonts w:ascii="Times New Roman"/>
        </w:rPr>
        <w:instrText xml:space="preserve"> FORMTEXT </w:instrText>
      </w:r>
      <w:r>
        <w:rPr>
          <w:rFonts w:ascii="Times New Roman"/>
        </w:rPr>
      </w:r>
      <w:r>
        <w:rPr>
          <w:rFonts w:ascii="Times New Roman"/>
        </w:rPr>
        <w:fldChar w:fldCharType="separate"/>
      </w:r>
      <w:r>
        <w:rPr>
          <w:rFonts w:ascii="Times New Roman"/>
        </w:rPr>
        <w:t>01.040.93</w:t>
      </w:r>
      <w:r>
        <w:rPr>
          <w:rFonts w:ascii="Times New Roman"/>
        </w:rPr>
        <w:fldChar w:fldCharType="end"/>
      </w:r>
      <w:bookmarkEnd w:id="0"/>
    </w:p>
    <w:p w14:paraId="3CD2BE6F" w14:textId="77777777" w:rsidR="00AB0B6E" w:rsidRDefault="00000000">
      <w:pPr>
        <w:pStyle w:val="affffffc"/>
        <w:framePr w:wrap="around" w:vAnchor="page" w:hAnchor="page" w:x="1849" w:y="1393"/>
        <w:rPr>
          <w:rFonts w:ascii="Times New Roman"/>
        </w:rPr>
      </w:pPr>
      <w:r>
        <w:rPr>
          <w:rFonts w:ascii="Times New Roman"/>
        </w:rPr>
        <w:fldChar w:fldCharType="begin">
          <w:ffData>
            <w:name w:val="WXFLH"/>
            <w:enabled/>
            <w:calcOnExit w:val="0"/>
            <w:helpText w:type="text" w:val="请输入中国标准文献分类号："/>
            <w:textInput>
              <w:default w:val="CCS P25"/>
            </w:textInput>
          </w:ffData>
        </w:fldChar>
      </w:r>
      <w:bookmarkStart w:id="1" w:name="WXFLH"/>
      <w:r>
        <w:rPr>
          <w:rFonts w:ascii="Times New Roman"/>
        </w:rPr>
        <w:instrText xml:space="preserve"> FORMTEXT </w:instrText>
      </w:r>
      <w:r>
        <w:rPr>
          <w:rFonts w:ascii="Times New Roman"/>
        </w:rPr>
      </w:r>
      <w:r>
        <w:rPr>
          <w:rFonts w:ascii="Times New Roman"/>
        </w:rPr>
        <w:fldChar w:fldCharType="separate"/>
      </w:r>
      <w:r>
        <w:rPr>
          <w:rFonts w:ascii="Times New Roman"/>
        </w:rPr>
        <w:t>CCS P25</w:t>
      </w:r>
      <w:r>
        <w:rPr>
          <w:rFonts w:ascii="Times New Roman"/>
        </w:rPr>
        <w:fldChar w:fldCharType="end"/>
      </w:r>
      <w:bookmarkEnd w:id="1"/>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2"/>
      </w:tblGrid>
      <w:tr w:rsidR="00AB0B6E" w14:paraId="6DAC6569" w14:textId="77777777">
        <w:tc>
          <w:tcPr>
            <w:tcW w:w="8522" w:type="dxa"/>
            <w:tcBorders>
              <w:top w:val="nil"/>
              <w:left w:val="nil"/>
              <w:bottom w:val="nil"/>
              <w:right w:val="nil"/>
            </w:tcBorders>
          </w:tcPr>
          <w:p w14:paraId="7BE079C5" w14:textId="77777777" w:rsidR="00AB0B6E" w:rsidRDefault="00000000">
            <w:pPr>
              <w:pStyle w:val="affffffc"/>
              <w:framePr w:wrap="around" w:vAnchor="page" w:hAnchor="page" w:x="1849" w:y="1393"/>
            </w:pPr>
            <w:r>
              <w:rPr>
                <w:noProof/>
              </w:rPr>
              <mc:AlternateContent>
                <mc:Choice Requires="wps">
                  <w:drawing>
                    <wp:anchor distT="0" distB="0" distL="114300" distR="114300" simplePos="0" relativeHeight="251662336" behindDoc="1" locked="0" layoutInCell="1" allowOverlap="1" wp14:anchorId="259CA24F" wp14:editId="050B8838">
                      <wp:simplePos x="0" y="0"/>
                      <wp:positionH relativeFrom="column">
                        <wp:posOffset>-66675</wp:posOffset>
                      </wp:positionH>
                      <wp:positionV relativeFrom="paragraph">
                        <wp:posOffset>0</wp:posOffset>
                      </wp:positionV>
                      <wp:extent cx="866775" cy="198120"/>
                      <wp:effectExtent l="0" t="3810" r="4445" b="0"/>
                      <wp:wrapNone/>
                      <wp:docPr id="44"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JO3BpA4CAAAh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uL+zVAAAABwEAAA8AAAAAAAAAAQAgAAAA&#10;IgAAAGRycy9kb3ducmV2LnhtbFBLAQIUABQAAAAIAIdO4kAk7cGkDgIAACEEAAAOAAAAAAAAAAEA&#10;IAAAACQBAABkcnMvZTJvRG9jLnhtbFBLBQYAAAAABgAGAFkBAACk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09BB6E40" w14:textId="77777777" w:rsidR="00AB0B6E" w:rsidRDefault="00000000">
      <w:pPr>
        <w:pStyle w:val="affffff1"/>
        <w:framePr w:w="5962" w:wrap="around" w:x="5004" w:y="957"/>
      </w:pPr>
      <w:r>
        <w:t>DB</w:t>
      </w:r>
      <w:r>
        <w:fldChar w:fldCharType="begin">
          <w:ffData>
            <w:name w:val="c3"/>
            <w:enabled/>
            <w:calcOnExit w:val="0"/>
            <w:entryMacro w:val="ShowHelp16"/>
            <w:textInput>
              <w:maxLength w:val="2"/>
            </w:textInput>
          </w:ffData>
        </w:fldChar>
      </w:r>
      <w:bookmarkStart w:id="3" w:name="c3"/>
      <w:r>
        <w:instrText xml:space="preserve"> FORMTEXT </w:instrText>
      </w:r>
      <w:r>
        <w:fldChar w:fldCharType="separate"/>
      </w:r>
      <w:r>
        <w:t>37</w:t>
      </w:r>
      <w:r>
        <w:fldChar w:fldCharType="end"/>
      </w:r>
      <w:bookmarkEnd w:id="3"/>
    </w:p>
    <w:p w14:paraId="76813F86" w14:textId="77777777" w:rsidR="00AB0B6E" w:rsidRDefault="00000000">
      <w:pPr>
        <w:pStyle w:val="affffff2"/>
        <w:framePr w:wrap="around" w:x="1836" w:y="2293"/>
        <w:rPr>
          <w:rFonts w:hint="eastAsia"/>
        </w:rPr>
      </w:pPr>
      <w:r>
        <w:fldChar w:fldCharType="begin">
          <w:ffData>
            <w:name w:val="c4"/>
            <w:enabled/>
            <w:calcOnExit w:val="0"/>
            <w:entryMacro w:val="showhelp12"/>
            <w:textInput/>
          </w:ffData>
        </w:fldChar>
      </w:r>
      <w:bookmarkStart w:id="4" w:name="c4"/>
      <w:r>
        <w:instrText xml:space="preserve"> FORMTEXT </w:instrText>
      </w:r>
      <w:r>
        <w:fldChar w:fldCharType="separate"/>
      </w:r>
      <w:r>
        <w:rPr>
          <w:rFonts w:hint="eastAsia"/>
        </w:rPr>
        <w:t>山东省</w:t>
      </w:r>
      <w:r>
        <w:fldChar w:fldCharType="end"/>
      </w:r>
      <w:bookmarkEnd w:id="4"/>
      <w:r>
        <w:rPr>
          <w:rFonts w:hint="eastAsia"/>
        </w:rPr>
        <w:t>地方标准</w:t>
      </w:r>
    </w:p>
    <w:p w14:paraId="576EF34F" w14:textId="77777777" w:rsidR="00AB0B6E" w:rsidRDefault="00000000">
      <w:pPr>
        <w:pStyle w:val="22"/>
        <w:framePr w:wrap="around"/>
        <w:rPr>
          <w:rFonts w:hAnsi="黑体" w:hint="eastAsia"/>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r>
      <w:r>
        <w:rPr>
          <w:rFonts w:hAnsi="黑体"/>
        </w:rPr>
        <w:fldChar w:fldCharType="separate"/>
      </w:r>
      <w:r>
        <w:rPr>
          <w:rFonts w:hAnsi="黑体"/>
        </w:rPr>
        <w:t>37</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AB0B6E" w14:paraId="7DD38BBA" w14:textId="77777777">
        <w:tc>
          <w:tcPr>
            <w:tcW w:w="9356" w:type="dxa"/>
            <w:tcBorders>
              <w:top w:val="nil"/>
              <w:left w:val="nil"/>
              <w:bottom w:val="nil"/>
              <w:right w:val="nil"/>
            </w:tcBorders>
          </w:tcPr>
          <w:p w14:paraId="567912D0" w14:textId="77777777" w:rsidR="00AB0B6E" w:rsidRDefault="00000000">
            <w:pPr>
              <w:pStyle w:val="afffff"/>
              <w:framePr w:wrap="around"/>
            </w:pPr>
            <w:r>
              <w:rPr>
                <w:noProof/>
              </w:rPr>
              <mc:AlternateContent>
                <mc:Choice Requires="wps">
                  <w:drawing>
                    <wp:anchor distT="0" distB="0" distL="114300" distR="114300" simplePos="0" relativeHeight="251659264" behindDoc="1" locked="0" layoutInCell="1" allowOverlap="1" wp14:anchorId="267585D1" wp14:editId="059B629E">
                      <wp:simplePos x="0" y="0"/>
                      <wp:positionH relativeFrom="column">
                        <wp:posOffset>4734560</wp:posOffset>
                      </wp:positionH>
                      <wp:positionV relativeFrom="paragraph">
                        <wp:posOffset>34290</wp:posOffset>
                      </wp:positionV>
                      <wp:extent cx="1143000" cy="228600"/>
                      <wp:effectExtent l="0" t="0" r="3175" b="0"/>
                      <wp:wrapNone/>
                      <wp:docPr id="4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NgrTncKAgAAIQQAAA4AAABkcnMvZTJvRG9jLnhtbK1TwW7b&#10;MAy9D9g/CLovttOs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5g8svWAAAACAEAAA8AAAAAAAAAAQAgAAAAIgAA&#10;AGRycy9kb3ducmV2LnhtbFBLAQIUABQAAAAIAIdO4kDYK053CgIAACEEAAAOAAAAAAAAAAEAIAAA&#10;ACUBAABkcnMvZTJvRG9jLnhtbFBLBQYAAAAABgAGAFkBAAChBQAAAAA=&#10;">
                      <v:fill on="t" focussize="0,0"/>
                      <v:stroke on="f"/>
                      <v:imagedata o:title=""/>
                      <o:lock v:ext="edit" aspectratio="f"/>
                    </v:rect>
                  </w:pict>
                </mc:Fallback>
              </mc:AlternateContent>
            </w: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14:paraId="37A45A6D" w14:textId="77777777" w:rsidR="00AB0B6E" w:rsidRDefault="00AB0B6E">
      <w:pPr>
        <w:pStyle w:val="22"/>
        <w:framePr w:wrap="around"/>
        <w:rPr>
          <w:rFonts w:hAnsi="黑体" w:hint="eastAsia"/>
        </w:rPr>
      </w:pPr>
    </w:p>
    <w:p w14:paraId="372DEB2E" w14:textId="77777777" w:rsidR="00AB0B6E" w:rsidRDefault="00AB0B6E">
      <w:pPr>
        <w:pStyle w:val="22"/>
        <w:framePr w:wrap="around"/>
        <w:rPr>
          <w:rFonts w:hAnsi="黑体" w:hint="eastAsia"/>
        </w:rPr>
      </w:pPr>
    </w:p>
    <w:bookmarkStart w:id="9" w:name="_Toc26950"/>
    <w:bookmarkStart w:id="10" w:name="OLE_LINK2"/>
    <w:p w14:paraId="77A4068B" w14:textId="77777777" w:rsidR="00AB0B6E" w:rsidRDefault="00000000">
      <w:pPr>
        <w:pStyle w:val="afffff0"/>
        <w:framePr w:wrap="around" w:x="1646" w:y="5880"/>
      </w:pPr>
      <w:r>
        <w:fldChar w:fldCharType="begin">
          <w:ffData>
            <w:name w:val="StdName"/>
            <w:enabled/>
            <w:calcOnExit w:val="0"/>
            <w:textInput>
              <w:default w:val="预制桩肋叠合墙技术规范"/>
            </w:textInput>
          </w:ffData>
        </w:fldChar>
      </w:r>
      <w:bookmarkStart w:id="11" w:name="StdName"/>
      <w:r>
        <w:instrText xml:space="preserve"> FORMTEXT </w:instrText>
      </w:r>
      <w:r>
        <w:fldChar w:fldCharType="separate"/>
      </w:r>
      <w:r>
        <w:rPr>
          <w:rFonts w:hint="eastAsia"/>
        </w:rPr>
        <w:t>预制桩肋叠合墙技术规范</w:t>
      </w:r>
      <w:r>
        <w:fldChar w:fldCharType="end"/>
      </w:r>
      <w:bookmarkEnd w:id="9"/>
      <w:bookmarkEnd w:id="11"/>
    </w:p>
    <w:bookmarkEnd w:id="10"/>
    <w:p w14:paraId="6A9C0398" w14:textId="77777777" w:rsidR="00AB0B6E" w:rsidRDefault="00000000">
      <w:pPr>
        <w:pStyle w:val="afffff1"/>
        <w:framePr w:wrap="around" w:x="1646" w:y="5880"/>
      </w:pPr>
      <w:r>
        <w:fldChar w:fldCharType="begin">
          <w:ffData>
            <w:name w:val="StdEnglishName"/>
            <w:enabled/>
            <w:calcOnExit w:val="0"/>
            <w:textInput>
              <w:default w:val="Technical specification of composite wall of precast pile with ribs"/>
            </w:textInput>
          </w:ffData>
        </w:fldChar>
      </w:r>
      <w:bookmarkStart w:id="12" w:name="StdEnglishName"/>
      <w:r>
        <w:instrText xml:space="preserve"> FORMTEXT </w:instrText>
      </w:r>
      <w:r>
        <w:fldChar w:fldCharType="separate"/>
      </w:r>
      <w:r>
        <w:t>Technical specification of composite wall of precast pile with ribs</w:t>
      </w:r>
      <w:r>
        <w:fldChar w:fldCharType="end"/>
      </w:r>
      <w:bookmarkEnd w:id="12"/>
    </w:p>
    <w:p w14:paraId="7E42DD38" w14:textId="77777777" w:rsidR="00AB0B6E" w:rsidRDefault="00000000">
      <w:pPr>
        <w:pStyle w:val="afffff2"/>
        <w:framePr w:wrap="around" w:x="1646" w:y="5880"/>
      </w:pPr>
      <w:r>
        <w:fldChar w:fldCharType="begin">
          <w:ffData>
            <w:name w:val="YZBS"/>
            <w:enabled/>
            <w:calcOnExit w:val="0"/>
            <w:textInput/>
          </w:ffData>
        </w:fldChar>
      </w:r>
      <w:bookmarkStart w:id="13" w:name="YZBS"/>
      <w:r>
        <w:instrText xml:space="preserve"> FORMTEXT </w:instrText>
      </w:r>
      <w:r>
        <w:fldChar w:fldCharType="separate"/>
      </w:r>
      <w:r>
        <w:t>     </w:t>
      </w:r>
      <w:r>
        <w:fldChar w:fldCharType="end"/>
      </w:r>
      <w:bookmarkEnd w:id="13"/>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AB0B6E" w14:paraId="00B84D93" w14:textId="77777777">
        <w:tc>
          <w:tcPr>
            <w:tcW w:w="9855" w:type="dxa"/>
            <w:tcBorders>
              <w:top w:val="nil"/>
              <w:left w:val="nil"/>
              <w:bottom w:val="nil"/>
              <w:right w:val="nil"/>
            </w:tcBorders>
          </w:tcPr>
          <w:p w14:paraId="662DA8F9" w14:textId="77777777" w:rsidR="00AB0B6E" w:rsidRDefault="00000000">
            <w:pPr>
              <w:pStyle w:val="afffff3"/>
              <w:framePr w:wrap="around" w:x="1646" w:y="5880"/>
            </w:pPr>
            <w:r>
              <w:rPr>
                <w:noProof/>
              </w:rPr>
              <mc:AlternateContent>
                <mc:Choice Requires="wps">
                  <w:drawing>
                    <wp:anchor distT="0" distB="0" distL="114300" distR="114300" simplePos="0" relativeHeight="251661312" behindDoc="1" locked="1" layoutInCell="1" allowOverlap="1" wp14:anchorId="35230A03" wp14:editId="1C43DAED">
                      <wp:simplePos x="0" y="0"/>
                      <wp:positionH relativeFrom="column">
                        <wp:posOffset>2200910</wp:posOffset>
                      </wp:positionH>
                      <wp:positionV relativeFrom="paragraph">
                        <wp:posOffset>573405</wp:posOffset>
                      </wp:positionV>
                      <wp:extent cx="1905000" cy="254000"/>
                      <wp:effectExtent l="0" t="0" r="3175" b="3175"/>
                      <wp:wrapNone/>
                      <wp:docPr id="42"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XTNPTgoCAAAh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YmuktUAAAAKAQAADwAAAAAAAAABACAAAAAiAAAA&#10;ZHJzL2Rvd25yZXYueG1sUEsBAhQAFAAAAAgAh07iQF0zT04KAgAAIQQAAA4AAAAAAAAAAQAgAAAA&#10;JAEAAGRycy9lMm9Eb2MueG1sUEsFBgAAAAAGAAYAWQEAAKAFA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0288" behindDoc="1" locked="0" layoutInCell="1" allowOverlap="1" wp14:anchorId="723274A9" wp14:editId="14B26AF0">
                      <wp:simplePos x="0" y="0"/>
                      <wp:positionH relativeFrom="column">
                        <wp:posOffset>2454910</wp:posOffset>
                      </wp:positionH>
                      <wp:positionV relativeFrom="paragraph">
                        <wp:posOffset>255905</wp:posOffset>
                      </wp:positionV>
                      <wp:extent cx="1270000" cy="304800"/>
                      <wp:effectExtent l="3175" t="0" r="3175" b="3175"/>
                      <wp:wrapNone/>
                      <wp:docPr id="41"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PDVZ3kJAgAAIQQAAA4AAAAAAAAAAQAgAAAA&#10;JQEAAGRycy9lMm9Eb2MueG1sUEsFBgAAAAAGAAYAWQEAAKAFAAAAAA==&#10;">
                      <v:fill on="t" focussize="0,0"/>
                      <v:stroke on="f"/>
                      <v:imagedata o:title=""/>
                      <o:lock v:ext="edit" aspectratio="f"/>
                    </v:rect>
                  </w:pict>
                </mc:Fallback>
              </mc:AlternateContent>
            </w:r>
            <w:r>
              <w:fldChar w:fldCharType="begin">
                <w:ffData>
                  <w:name w:val="LB"/>
                  <w:enabled/>
                  <w:calcOnExit w:val="0"/>
                  <w:ddList>
                    <w:listEntry w:val="（报批稿）"/>
                    <w:listEntry w:val="（送审稿）"/>
                    <w:listEntry w:val="（征求意见稿）"/>
                    <w:listEntry w:val="（送审讨论稿）"/>
                  </w:ddList>
                </w:ffData>
              </w:fldChar>
            </w:r>
            <w:bookmarkStart w:id="14" w:name="LB"/>
            <w:r>
              <w:instrText xml:space="preserve"> FORMDROPDOWN </w:instrText>
            </w:r>
            <w:r>
              <w:fldChar w:fldCharType="separate"/>
            </w:r>
            <w:r>
              <w:fldChar w:fldCharType="end"/>
            </w:r>
            <w:bookmarkEnd w:id="14"/>
          </w:p>
        </w:tc>
      </w:tr>
      <w:tr w:rsidR="00AB0B6E" w14:paraId="3268B6C0" w14:textId="77777777">
        <w:tc>
          <w:tcPr>
            <w:tcW w:w="9855" w:type="dxa"/>
            <w:tcBorders>
              <w:top w:val="nil"/>
              <w:left w:val="nil"/>
              <w:bottom w:val="nil"/>
              <w:right w:val="nil"/>
            </w:tcBorders>
          </w:tcPr>
          <w:p w14:paraId="3984B035" w14:textId="77777777" w:rsidR="00AB0B6E" w:rsidRDefault="00000000">
            <w:pPr>
              <w:pStyle w:val="afffff4"/>
              <w:framePr w:wrap="around" w:x="1646" w:y="5880"/>
            </w:pPr>
            <w:r>
              <w:fldChar w:fldCharType="begin">
                <w:ffData>
                  <w:name w:val="WCRQ"/>
                  <w:enabled/>
                  <w:calcOnExit w:val="0"/>
                  <w:textInput/>
                </w:ffData>
              </w:fldChar>
            </w:r>
            <w:bookmarkStart w:id="15" w:name="WCRQ"/>
            <w:r>
              <w:instrText xml:space="preserve"> FORMTEXT </w:instrText>
            </w:r>
            <w:r>
              <w:fldChar w:fldCharType="separate"/>
            </w:r>
            <w:r>
              <w:t>     </w:t>
            </w:r>
            <w:r>
              <w:fldChar w:fldCharType="end"/>
            </w:r>
            <w:bookmarkEnd w:id="15"/>
          </w:p>
        </w:tc>
      </w:tr>
    </w:tbl>
    <w:p w14:paraId="7637AC5A" w14:textId="77777777" w:rsidR="00AB0B6E" w:rsidRDefault="00000000">
      <w:pPr>
        <w:pStyle w:val="afffffff1"/>
        <w:framePr w:wrap="around" w:hAnchor="page" w:x="1703" w:y="14015"/>
      </w:pPr>
      <w:r>
        <w:rPr>
          <w:rFonts w:ascii="黑体"/>
        </w:rPr>
        <w:fldChar w:fldCharType="begin">
          <w:ffData>
            <w:name w:val="FY"/>
            <w:enabled/>
            <w:calcOnExit w:val="0"/>
            <w:textInput>
              <w:default w:val="XXXX"/>
              <w:maxLength w:val="4"/>
            </w:textInput>
          </w:ffData>
        </w:fldChar>
      </w:r>
      <w:bookmarkStart w:id="16"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entryMacro w:val="ShowHelp8"/>
            <w:textInput>
              <w:default w:val="XX"/>
              <w:maxLength w:val="2"/>
            </w:textInput>
          </w:ffData>
        </w:fldChar>
      </w:r>
      <w:bookmarkStart w:id="17"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r>
        <w:rPr>
          <w:noProof/>
        </w:rPr>
        <mc:AlternateContent>
          <mc:Choice Requires="wps">
            <w:drawing>
              <wp:anchor distT="0" distB="0" distL="114300" distR="114300" simplePos="0" relativeHeight="251663360" behindDoc="0" locked="1" layoutInCell="1" allowOverlap="1" wp14:anchorId="1BBD3043" wp14:editId="43F14139">
                <wp:simplePos x="0" y="0"/>
                <wp:positionH relativeFrom="column">
                  <wp:posOffset>-635</wp:posOffset>
                </wp:positionH>
                <wp:positionV relativeFrom="page">
                  <wp:posOffset>9251950</wp:posOffset>
                </wp:positionV>
                <wp:extent cx="6120130" cy="0"/>
                <wp:effectExtent l="13970" t="12700" r="9525" b="6350"/>
                <wp:wrapNone/>
                <wp:docPr id="39"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h2s81gAAAAsBAAAPAAAAAAAAAAEA&#10;IAAAACIAAABkcnMvZG93bnJldi54bWxQSwECFAAUAAAACACHTuJA/3GuJ9gBAACjAwAADgAAAAAA&#10;AAABACAAAAAlAQAAZHJzL2Uyb0RvYy54bWxQSwUGAAAAAAYABgBZAQAAbwUAAAAA&#10;">
                <v:fill on="f" focussize="0,0"/>
                <v:stroke color="#000000" joinstyle="round"/>
                <v:imagedata o:title=""/>
                <o:lock v:ext="edit" aspectratio="f"/>
                <w10:anchorlock/>
              </v:line>
            </w:pict>
          </mc:Fallback>
        </mc:AlternateContent>
      </w:r>
    </w:p>
    <w:p w14:paraId="50DBF946" w14:textId="77777777" w:rsidR="00AB0B6E" w:rsidRDefault="00000000">
      <w:pPr>
        <w:pStyle w:val="afffffff2"/>
        <w:framePr w:wrap="around" w:hAnchor="page" w:x="6860" w:y="14060"/>
      </w:pPr>
      <w:r>
        <w:rPr>
          <w:rFonts w:ascii="黑体"/>
        </w:rPr>
        <w:fldChar w:fldCharType="begin">
          <w:ffData>
            <w:name w:val="SY"/>
            <w:enabled/>
            <w:calcOnExit w:val="0"/>
            <w:textInput>
              <w:default w:val="XXXX"/>
              <w:maxLength w:val="4"/>
            </w:textInput>
          </w:ffData>
        </w:fldChar>
      </w:r>
      <w:bookmarkStart w:id="18"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SM"/>
            <w:enabled/>
            <w:calcOnExit w:val="0"/>
            <w:entryMacro w:val="ShowHelp9"/>
            <w:textInput>
              <w:default w:val="XX"/>
              <w:maxLength w:val="2"/>
            </w:textInput>
          </w:ffData>
        </w:fldChar>
      </w:r>
      <w:bookmarkStart w:id="19"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SD"/>
            <w:enabled/>
            <w:calcOnExit w:val="0"/>
            <w:entryMacro w:val="ShowHelp9"/>
            <w:textInput>
              <w:default w:val="XX"/>
              <w:maxLength w:val="2"/>
            </w:textInput>
          </w:ffData>
        </w:fldChar>
      </w:r>
      <w:bookmarkStart w:id="20"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21F6C095" w14:textId="77777777" w:rsidR="00AB0B6E" w:rsidRDefault="00000000">
      <w:pPr>
        <w:pStyle w:val="affffff3"/>
        <w:framePr w:wrap="around"/>
      </w:pPr>
      <w:r>
        <w:fldChar w:fldCharType="begin">
          <w:ffData>
            <w:name w:val="fm"/>
            <w:enabled/>
            <w:calcOnExit w:val="0"/>
            <w:textInput/>
          </w:ffData>
        </w:fldChar>
      </w:r>
      <w:bookmarkStart w:id="21" w:name="fm"/>
      <w:r>
        <w:instrText xml:space="preserve"> FORMTEXT </w:instrText>
      </w:r>
      <w:r>
        <w:fldChar w:fldCharType="separate"/>
      </w:r>
      <w:r>
        <w:t>山东省市场监管局</w:t>
      </w:r>
      <w:r>
        <w:fldChar w:fldCharType="end"/>
      </w:r>
      <w:bookmarkEnd w:id="21"/>
      <w:r>
        <w:rPr>
          <w:rFonts w:hAnsi="黑体"/>
        </w:rPr>
        <w:t>   </w:t>
      </w:r>
      <w:r>
        <w:rPr>
          <w:rStyle w:val="affffc"/>
          <w:rFonts w:hint="eastAsia"/>
        </w:rPr>
        <w:t>发布</w:t>
      </w:r>
    </w:p>
    <w:p w14:paraId="1246D8EB" w14:textId="77777777" w:rsidR="00AB0B6E" w:rsidRDefault="00000000">
      <w:pPr>
        <w:pStyle w:val="afffe"/>
        <w:sectPr w:rsidR="00AB0B6E">
          <w:headerReference w:type="even" r:id="rId8"/>
          <w:footerReference w:type="even" r:id="rId9"/>
          <w:pgSz w:w="11906" w:h="16838"/>
          <w:pgMar w:top="1440" w:right="1800" w:bottom="1440" w:left="1800" w:header="851" w:footer="992" w:gutter="0"/>
          <w:cols w:space="425"/>
          <w:docGrid w:type="lines" w:linePitch="312"/>
        </w:sectPr>
      </w:pPr>
      <w:r>
        <w:rPr>
          <w:noProof/>
        </w:rPr>
        <mc:AlternateContent>
          <mc:Choice Requires="wps">
            <w:drawing>
              <wp:anchor distT="0" distB="0" distL="114300" distR="114300" simplePos="0" relativeHeight="251664384" behindDoc="0" locked="0" layoutInCell="1" allowOverlap="1" wp14:anchorId="195FFB1B" wp14:editId="1230F4A8">
                <wp:simplePos x="0" y="0"/>
                <wp:positionH relativeFrom="column">
                  <wp:posOffset>-635</wp:posOffset>
                </wp:positionH>
                <wp:positionV relativeFrom="paragraph">
                  <wp:posOffset>2339975</wp:posOffset>
                </wp:positionV>
                <wp:extent cx="6120130" cy="0"/>
                <wp:effectExtent l="13970" t="13970" r="9525" b="5080"/>
                <wp:wrapNone/>
                <wp:docPr id="38"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CQeJf1wAAAAkBAAAPAAAAAAAAAAEA&#10;IAAAACIAAABkcnMvZG93bnJldi54bWxQSwECFAAUAAAACACHTuJAMMdIhdcBAACjAwAADgAAAAAA&#10;AAABACAAAAAmAQAAZHJzL2Uyb0RvYy54bWxQSwUGAAAAAAYABgBZAQAAbwUAAAAA&#10;">
                <v:fill on="f" focussize="0,0"/>
                <v:stroke color="#000000" joinstyle="round"/>
                <v:imagedata o:title=""/>
                <o:lock v:ext="edit" aspectratio="f"/>
              </v:line>
            </w:pict>
          </mc:Fallback>
        </mc:AlternateContent>
      </w:r>
    </w:p>
    <w:sdt>
      <w:sdtPr>
        <w:rPr>
          <w:rFonts w:ascii="黑体" w:eastAsia="黑体" w:hAnsi="Times New Roman" w:cs="Times New Roman" w:hint="eastAsia"/>
          <w:kern w:val="0"/>
          <w:sz w:val="32"/>
          <w:szCs w:val="20"/>
        </w:rPr>
        <w:id w:val="147453771"/>
        <w15:color w:val="DBDBDB"/>
        <w:docPartObj>
          <w:docPartGallery w:val="Table of Contents"/>
          <w:docPartUnique/>
        </w:docPartObj>
      </w:sdtPr>
      <w:sdtEndPr>
        <w:rPr>
          <w:rFonts w:asciiTheme="minorHAnsi" w:eastAsiaTheme="minorEastAsia" w:hAnsiTheme="minorHAnsi" w:cstheme="minorBidi"/>
          <w:b/>
          <w:kern w:val="2"/>
          <w:sz w:val="21"/>
          <w:szCs w:val="21"/>
        </w:rPr>
      </w:sdtEndPr>
      <w:sdtContent>
        <w:p w14:paraId="42FC591B" w14:textId="77777777" w:rsidR="00AB0B6E" w:rsidRDefault="00000000">
          <w:pPr>
            <w:jc w:val="center"/>
            <w:rPr>
              <w:rFonts w:ascii="黑体" w:eastAsia="黑体" w:hAnsi="Times New Roman" w:cs="Times New Roman"/>
              <w:kern w:val="0"/>
              <w:sz w:val="32"/>
              <w:szCs w:val="20"/>
            </w:rPr>
          </w:pPr>
          <w:r>
            <w:rPr>
              <w:rFonts w:ascii="黑体" w:eastAsia="黑体" w:hAnsi="Times New Roman" w:cs="Times New Roman" w:hint="eastAsia"/>
              <w:kern w:val="0"/>
              <w:sz w:val="32"/>
              <w:szCs w:val="20"/>
            </w:rPr>
            <w:t>目  次</w:t>
          </w:r>
        </w:p>
        <w:p w14:paraId="65F34150"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r>
            <w:rPr>
              <w:rFonts w:ascii="宋体" w:eastAsia="宋体" w:hAnsi="宋体"/>
              <w:kern w:val="0"/>
              <w:szCs w:val="21"/>
            </w:rPr>
            <w:fldChar w:fldCharType="begin"/>
          </w:r>
          <w:r>
            <w:rPr>
              <w:rFonts w:ascii="宋体" w:eastAsia="宋体" w:hAnsi="宋体"/>
              <w:szCs w:val="21"/>
            </w:rPr>
            <w:instrText xml:space="preserve">TOC \o "1-2" \h \u </w:instrText>
          </w:r>
          <w:r>
            <w:rPr>
              <w:rFonts w:ascii="宋体" w:eastAsia="宋体" w:hAnsi="宋体"/>
              <w:kern w:val="0"/>
              <w:szCs w:val="21"/>
            </w:rPr>
            <w:fldChar w:fldCharType="separate"/>
          </w:r>
          <w:hyperlink w:anchor="_Toc186552217" w:history="1">
            <w:r>
              <w:rPr>
                <w:rStyle w:val="afffb"/>
                <w:rFonts w:ascii="宋体" w:eastAsia="宋体" w:hAnsi="宋体" w:hint="eastAsia"/>
              </w:rPr>
              <w:t>前</w:t>
            </w:r>
            <w:r>
              <w:rPr>
                <w:rStyle w:val="afffb"/>
                <w:rFonts w:ascii="宋体" w:eastAsia="宋体" w:hAnsi="宋体"/>
              </w:rPr>
              <w:t>  </w:t>
            </w:r>
            <w:r>
              <w:rPr>
                <w:rStyle w:val="afffb"/>
                <w:rFonts w:ascii="宋体" w:eastAsia="宋体" w:hAnsi="宋体" w:hint="eastAsia"/>
              </w:rPr>
              <w:t>言</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_Toc186552217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II</w:t>
            </w:r>
            <w:r>
              <w:rPr>
                <w:rFonts w:ascii="宋体" w:eastAsia="宋体" w:hAnsi="宋体" w:hint="eastAsia"/>
                <w:szCs w:val="21"/>
              </w:rPr>
              <w:fldChar w:fldCharType="end"/>
            </w:r>
          </w:hyperlink>
        </w:p>
        <w:p w14:paraId="401D9878"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18" w:history="1">
            <w:r>
              <w:rPr>
                <w:rStyle w:val="afffb"/>
                <w:rFonts w:ascii="宋体" w:eastAsia="宋体" w:hAnsi="宋体" w:hint="eastAsia"/>
              </w:rPr>
              <w:t>1 范围</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_Toc186552218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3</w:t>
            </w:r>
            <w:r>
              <w:rPr>
                <w:rFonts w:ascii="宋体" w:eastAsia="宋体" w:hAnsi="宋体" w:hint="eastAsia"/>
                <w:szCs w:val="21"/>
              </w:rPr>
              <w:fldChar w:fldCharType="end"/>
            </w:r>
          </w:hyperlink>
        </w:p>
        <w:p w14:paraId="4A6EF77A"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19" w:history="1">
            <w:r>
              <w:rPr>
                <w:rStyle w:val="afffb"/>
                <w:rFonts w:ascii="宋体" w:eastAsia="宋体" w:hAnsi="宋体" w:hint="eastAsia"/>
              </w:rPr>
              <w:t>2 规范性引用文件</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_Toc186552219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3</w:t>
            </w:r>
            <w:r>
              <w:rPr>
                <w:rFonts w:ascii="宋体" w:eastAsia="宋体" w:hAnsi="宋体" w:hint="eastAsia"/>
                <w:szCs w:val="21"/>
              </w:rPr>
              <w:fldChar w:fldCharType="end"/>
            </w:r>
          </w:hyperlink>
        </w:p>
        <w:p w14:paraId="1E18F2E4"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20" w:history="1">
            <w:r>
              <w:rPr>
                <w:rStyle w:val="afffb"/>
                <w:rFonts w:ascii="宋体" w:eastAsia="宋体" w:hAnsi="宋体" w:hint="eastAsia"/>
              </w:rPr>
              <w:t>3 术语和定义</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_Toc186552220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3</w:t>
            </w:r>
            <w:r>
              <w:rPr>
                <w:rFonts w:ascii="宋体" w:eastAsia="宋体" w:hAnsi="宋体" w:hint="eastAsia"/>
                <w:szCs w:val="21"/>
              </w:rPr>
              <w:fldChar w:fldCharType="end"/>
            </w:r>
          </w:hyperlink>
        </w:p>
        <w:p w14:paraId="3E2ADA10"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21" w:history="1">
            <w:r>
              <w:rPr>
                <w:rStyle w:val="afffb"/>
                <w:rFonts w:ascii="宋体" w:eastAsia="宋体" w:hAnsi="宋体" w:hint="eastAsia"/>
              </w:rPr>
              <w:t>4 总体要求</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_Toc186552221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4</w:t>
            </w:r>
            <w:r>
              <w:rPr>
                <w:rFonts w:ascii="宋体" w:eastAsia="宋体" w:hAnsi="宋体" w:hint="eastAsia"/>
                <w:szCs w:val="21"/>
              </w:rPr>
              <w:fldChar w:fldCharType="end"/>
            </w:r>
          </w:hyperlink>
        </w:p>
        <w:p w14:paraId="0CFC6B5C"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22" w:history="1">
            <w:r>
              <w:rPr>
                <w:rStyle w:val="afffb"/>
                <w:rFonts w:ascii="宋体" w:eastAsia="宋体" w:hAnsi="宋体" w:hint="eastAsia"/>
              </w:rPr>
              <w:t>5 设计</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_Toc186552222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5</w:t>
            </w:r>
            <w:r>
              <w:rPr>
                <w:rFonts w:ascii="宋体" w:eastAsia="宋体" w:hAnsi="宋体" w:hint="eastAsia"/>
                <w:szCs w:val="21"/>
              </w:rPr>
              <w:fldChar w:fldCharType="end"/>
            </w:r>
          </w:hyperlink>
        </w:p>
        <w:p w14:paraId="4AAF7034"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23" w:history="1">
            <w:r>
              <w:rPr>
                <w:rStyle w:val="afffb"/>
                <w:rFonts w:ascii="宋体" w:eastAsia="宋体" w:hAnsi="宋体" w:hint="eastAsia"/>
              </w:rPr>
              <w:t>5.1 预制桩</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_Toc186552223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5</w:t>
            </w:r>
            <w:r>
              <w:rPr>
                <w:rFonts w:ascii="宋体" w:eastAsia="宋体" w:hAnsi="宋体" w:hint="eastAsia"/>
                <w:szCs w:val="21"/>
              </w:rPr>
              <w:fldChar w:fldCharType="end"/>
            </w:r>
          </w:hyperlink>
        </w:p>
        <w:p w14:paraId="4770552E"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24" w:history="1">
            <w:r>
              <w:rPr>
                <w:rStyle w:val="afffb"/>
                <w:rFonts w:ascii="宋体" w:eastAsia="宋体" w:hAnsi="宋体" w:hint="eastAsia"/>
              </w:rPr>
              <w:t>5.2 预制桩肋叠合墙</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_Toc186552224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5</w:t>
            </w:r>
            <w:r>
              <w:rPr>
                <w:rFonts w:ascii="宋体" w:eastAsia="宋体" w:hAnsi="宋体" w:hint="eastAsia"/>
                <w:szCs w:val="21"/>
              </w:rPr>
              <w:fldChar w:fldCharType="end"/>
            </w:r>
          </w:hyperlink>
        </w:p>
        <w:p w14:paraId="3B809AD4"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25" w:history="1">
            <w:r>
              <w:rPr>
                <w:rStyle w:val="afffb"/>
                <w:rFonts w:ascii="宋体" w:eastAsia="宋体" w:hAnsi="宋体" w:hint="eastAsia"/>
              </w:rPr>
              <w:t>6 预制桩的制作、吊运和堆放</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_Toc186552225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5</w:t>
            </w:r>
            <w:r>
              <w:rPr>
                <w:rFonts w:ascii="宋体" w:eastAsia="宋体" w:hAnsi="宋体" w:hint="eastAsia"/>
                <w:szCs w:val="21"/>
              </w:rPr>
              <w:fldChar w:fldCharType="end"/>
            </w:r>
          </w:hyperlink>
        </w:p>
        <w:p w14:paraId="4FC09E0B"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26" w:history="1">
            <w:r>
              <w:rPr>
                <w:rStyle w:val="afffb"/>
                <w:rFonts w:ascii="宋体" w:eastAsia="宋体" w:hAnsi="宋体" w:hint="eastAsia"/>
              </w:rPr>
              <w:t>6.1 制作</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_Toc186552226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5</w:t>
            </w:r>
            <w:r>
              <w:rPr>
                <w:rFonts w:ascii="宋体" w:eastAsia="宋体" w:hAnsi="宋体" w:hint="eastAsia"/>
                <w:szCs w:val="21"/>
              </w:rPr>
              <w:fldChar w:fldCharType="end"/>
            </w:r>
          </w:hyperlink>
        </w:p>
        <w:p w14:paraId="2B7BDC78"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27" w:history="1">
            <w:r>
              <w:rPr>
                <w:rStyle w:val="afffb"/>
                <w:rFonts w:ascii="宋体" w:eastAsia="宋体" w:hAnsi="宋体" w:hint="eastAsia"/>
              </w:rPr>
              <w:t>6.2 吊运和堆放</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_Toc186552227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6</w:t>
            </w:r>
            <w:r>
              <w:rPr>
                <w:rFonts w:ascii="宋体" w:eastAsia="宋体" w:hAnsi="宋体" w:hint="eastAsia"/>
                <w:szCs w:val="21"/>
              </w:rPr>
              <w:fldChar w:fldCharType="end"/>
            </w:r>
          </w:hyperlink>
        </w:p>
        <w:p w14:paraId="49C5C494"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28" w:history="1">
            <w:r>
              <w:rPr>
                <w:rStyle w:val="afffb"/>
                <w:rFonts w:ascii="宋体" w:eastAsia="宋体" w:hAnsi="宋体" w:hint="eastAsia"/>
              </w:rPr>
              <w:t>7 施工</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_Toc186552228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6</w:t>
            </w:r>
            <w:r>
              <w:rPr>
                <w:rFonts w:ascii="宋体" w:eastAsia="宋体" w:hAnsi="宋体" w:hint="eastAsia"/>
                <w:szCs w:val="21"/>
              </w:rPr>
              <w:fldChar w:fldCharType="end"/>
            </w:r>
          </w:hyperlink>
        </w:p>
        <w:p w14:paraId="43134B91"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29" w:history="1">
            <w:r>
              <w:rPr>
                <w:rStyle w:val="afffb"/>
                <w:rFonts w:ascii="宋体" w:eastAsia="宋体" w:hAnsi="宋体" w:hint="eastAsia"/>
              </w:rPr>
              <w:t>7.1 施工流程</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_Toc186552229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6</w:t>
            </w:r>
            <w:r>
              <w:rPr>
                <w:rFonts w:ascii="宋体" w:eastAsia="宋体" w:hAnsi="宋体" w:hint="eastAsia"/>
                <w:szCs w:val="21"/>
              </w:rPr>
              <w:fldChar w:fldCharType="end"/>
            </w:r>
          </w:hyperlink>
        </w:p>
        <w:p w14:paraId="5646BF6F"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30" w:history="1">
            <w:r>
              <w:rPr>
                <w:rStyle w:val="afffb"/>
                <w:rFonts w:ascii="宋体" w:eastAsia="宋体" w:hAnsi="宋体" w:hint="eastAsia"/>
              </w:rPr>
              <w:t>7.2 预制桩成桩</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_Toc186552230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6</w:t>
            </w:r>
            <w:r>
              <w:rPr>
                <w:rFonts w:ascii="宋体" w:eastAsia="宋体" w:hAnsi="宋体" w:hint="eastAsia"/>
                <w:szCs w:val="21"/>
              </w:rPr>
              <w:fldChar w:fldCharType="end"/>
            </w:r>
          </w:hyperlink>
        </w:p>
        <w:p w14:paraId="732AE348"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31" w:history="1">
            <w:r>
              <w:rPr>
                <w:rStyle w:val="afffb"/>
                <w:rFonts w:ascii="宋体" w:eastAsia="宋体" w:hAnsi="宋体" w:hint="eastAsia"/>
              </w:rPr>
              <w:t>7.3 基坑开挖和叠合墙施工</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_Toc186552231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8</w:t>
            </w:r>
            <w:r>
              <w:rPr>
                <w:rFonts w:ascii="宋体" w:eastAsia="宋体" w:hAnsi="宋体" w:hint="eastAsia"/>
                <w:szCs w:val="21"/>
              </w:rPr>
              <w:fldChar w:fldCharType="end"/>
            </w:r>
          </w:hyperlink>
        </w:p>
        <w:p w14:paraId="4F5E38D1" w14:textId="77777777" w:rsidR="00AB0B6E" w:rsidRDefault="00000000">
          <w:pPr>
            <w:pStyle w:val="TOC1"/>
            <w:tabs>
              <w:tab w:val="right" w:leader="dot" w:pos="9344"/>
            </w:tabs>
            <w:spacing w:line="360" w:lineRule="auto"/>
            <w:rPr>
              <w:rFonts w:ascii="宋体" w:eastAsia="宋体" w:hAnsi="宋体" w:hint="eastAsia"/>
              <w:szCs w:val="21"/>
              <w14:ligatures w14:val="standardContextual"/>
            </w:rPr>
          </w:pPr>
          <w:hyperlink w:anchor="_Toc186552232" w:history="1">
            <w:r>
              <w:rPr>
                <w:rStyle w:val="afffb"/>
                <w:rFonts w:ascii="宋体" w:eastAsia="宋体" w:hAnsi="宋体" w:hint="eastAsia"/>
              </w:rPr>
              <w:t>8 质量验收</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_Toc186552232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8</w:t>
            </w:r>
            <w:r>
              <w:rPr>
                <w:rFonts w:ascii="宋体" w:eastAsia="宋体" w:hAnsi="宋体" w:hint="eastAsia"/>
                <w:szCs w:val="21"/>
              </w:rPr>
              <w:fldChar w:fldCharType="end"/>
            </w:r>
          </w:hyperlink>
        </w:p>
        <w:p w14:paraId="6CB686E9"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33" w:history="1">
            <w:r>
              <w:rPr>
                <w:rStyle w:val="afffb"/>
                <w:rFonts w:ascii="宋体" w:eastAsia="宋体" w:hAnsi="宋体" w:hint="eastAsia"/>
              </w:rPr>
              <w:t>8.1 预制桩制作验收</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_Toc186552233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8</w:t>
            </w:r>
            <w:r>
              <w:rPr>
                <w:rFonts w:ascii="宋体" w:eastAsia="宋体" w:hAnsi="宋体" w:hint="eastAsia"/>
                <w:szCs w:val="21"/>
              </w:rPr>
              <w:fldChar w:fldCharType="end"/>
            </w:r>
          </w:hyperlink>
        </w:p>
        <w:p w14:paraId="31628272"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34" w:history="1">
            <w:r>
              <w:rPr>
                <w:rStyle w:val="afffb"/>
                <w:rFonts w:ascii="宋体" w:eastAsia="宋体" w:hAnsi="宋体" w:hint="eastAsia"/>
              </w:rPr>
              <w:t>8.2 送桩施工验收</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_Toc186552234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9</w:t>
            </w:r>
            <w:r>
              <w:rPr>
                <w:rFonts w:ascii="宋体" w:eastAsia="宋体" w:hAnsi="宋体" w:hint="eastAsia"/>
                <w:szCs w:val="21"/>
              </w:rPr>
              <w:fldChar w:fldCharType="end"/>
            </w:r>
          </w:hyperlink>
        </w:p>
        <w:p w14:paraId="2B33152D" w14:textId="77777777" w:rsidR="00AB0B6E" w:rsidRDefault="00000000">
          <w:pPr>
            <w:pStyle w:val="TOC2"/>
            <w:tabs>
              <w:tab w:val="right" w:leader="dot" w:pos="9344"/>
            </w:tabs>
            <w:spacing w:line="360" w:lineRule="auto"/>
            <w:rPr>
              <w:rFonts w:ascii="宋体" w:eastAsia="宋体" w:hAnsi="宋体" w:hint="eastAsia"/>
              <w:szCs w:val="21"/>
              <w14:ligatures w14:val="standardContextual"/>
            </w:rPr>
          </w:pPr>
          <w:hyperlink w:anchor="_Toc186552235" w:history="1">
            <w:r>
              <w:rPr>
                <w:rStyle w:val="afffb"/>
                <w:rFonts w:ascii="宋体" w:eastAsia="宋体" w:hAnsi="宋体" w:hint="eastAsia"/>
              </w:rPr>
              <w:t>8.3 叠合墙施工验收</w:t>
            </w:r>
            <w:r>
              <w:rPr>
                <w:rFonts w:ascii="宋体" w:eastAsia="宋体" w:hAnsi="宋体" w:hint="eastAsia"/>
                <w:szCs w:val="21"/>
              </w:rPr>
              <w:tab/>
            </w:r>
            <w:r>
              <w:rPr>
                <w:rFonts w:ascii="宋体" w:eastAsia="宋体" w:hAnsi="宋体" w:hint="eastAsia"/>
                <w:szCs w:val="21"/>
              </w:rPr>
              <w:fldChar w:fldCharType="begin"/>
            </w:r>
            <w:r>
              <w:rPr>
                <w:rFonts w:ascii="宋体" w:eastAsia="宋体" w:hAnsi="宋体" w:hint="eastAsia"/>
                <w:szCs w:val="21"/>
              </w:rPr>
              <w:instrText xml:space="preserve"> </w:instrText>
            </w:r>
            <w:r>
              <w:rPr>
                <w:rFonts w:ascii="宋体" w:eastAsia="宋体" w:hAnsi="宋体"/>
                <w:szCs w:val="21"/>
              </w:rPr>
              <w:instrText>PAGEREF _Toc186552235 \h</w:instrText>
            </w:r>
            <w:r>
              <w:rPr>
                <w:rFonts w:ascii="宋体" w:eastAsia="宋体" w:hAnsi="宋体" w:hint="eastAsia"/>
                <w:szCs w:val="21"/>
              </w:rPr>
              <w:instrText xml:space="preserve"> </w:instrText>
            </w:r>
            <w:r>
              <w:rPr>
                <w:rFonts w:ascii="宋体" w:eastAsia="宋体" w:hAnsi="宋体" w:hint="eastAsia"/>
                <w:szCs w:val="21"/>
              </w:rPr>
            </w:r>
            <w:r>
              <w:rPr>
                <w:rFonts w:ascii="宋体" w:eastAsia="宋体" w:hAnsi="宋体" w:hint="eastAsia"/>
                <w:szCs w:val="21"/>
              </w:rPr>
              <w:fldChar w:fldCharType="separate"/>
            </w:r>
            <w:r>
              <w:rPr>
                <w:rFonts w:ascii="宋体" w:eastAsia="宋体" w:hAnsi="宋体" w:hint="eastAsia"/>
                <w:szCs w:val="21"/>
              </w:rPr>
              <w:t>10</w:t>
            </w:r>
            <w:r>
              <w:rPr>
                <w:rFonts w:ascii="宋体" w:eastAsia="宋体" w:hAnsi="宋体" w:hint="eastAsia"/>
                <w:szCs w:val="21"/>
              </w:rPr>
              <w:fldChar w:fldCharType="end"/>
            </w:r>
          </w:hyperlink>
        </w:p>
        <w:p w14:paraId="61C016F1" w14:textId="77777777" w:rsidR="00AB0B6E" w:rsidRDefault="00000000">
          <w:pPr>
            <w:spacing w:beforeLines="25" w:before="78" w:afterLines="25" w:after="78" w:line="360" w:lineRule="auto"/>
            <w:rPr>
              <w:rFonts w:hint="eastAsia"/>
              <w:b/>
              <w:szCs w:val="21"/>
            </w:rPr>
          </w:pPr>
          <w:r>
            <w:rPr>
              <w:rFonts w:ascii="宋体" w:eastAsia="宋体" w:hAnsi="宋体"/>
              <w:b/>
              <w:szCs w:val="21"/>
            </w:rPr>
            <w:fldChar w:fldCharType="end"/>
          </w:r>
        </w:p>
      </w:sdtContent>
    </w:sdt>
    <w:p w14:paraId="213D1337" w14:textId="77777777" w:rsidR="00AB0B6E" w:rsidRDefault="00AB0B6E">
      <w:pPr>
        <w:rPr>
          <w:rFonts w:hint="eastAsia"/>
          <w:b/>
        </w:rPr>
      </w:pPr>
    </w:p>
    <w:p w14:paraId="3F16DB87" w14:textId="77777777" w:rsidR="00AB0B6E" w:rsidRDefault="00000000">
      <w:pPr>
        <w:pStyle w:val="affffff4"/>
      </w:pPr>
      <w:bookmarkStart w:id="22" w:name="_Toc167012695"/>
      <w:bookmarkStart w:id="23" w:name="_Toc186552217"/>
      <w:r>
        <w:rPr>
          <w:rFonts w:hint="eastAsia"/>
        </w:rPr>
        <w:lastRenderedPageBreak/>
        <w:t>前</w:t>
      </w:r>
      <w:bookmarkStart w:id="24" w:name="BKQY"/>
      <w:r>
        <w:t>  </w:t>
      </w:r>
      <w:r>
        <w:rPr>
          <w:rFonts w:hint="eastAsia"/>
        </w:rPr>
        <w:t>言</w:t>
      </w:r>
      <w:bookmarkEnd w:id="22"/>
      <w:bookmarkEnd w:id="23"/>
      <w:bookmarkEnd w:id="24"/>
    </w:p>
    <w:p w14:paraId="6AF0ACDF" w14:textId="77777777" w:rsidR="00AB0B6E" w:rsidRDefault="00000000">
      <w:pPr>
        <w:pStyle w:val="afffe"/>
      </w:pPr>
      <w:r>
        <w:rPr>
          <w:rFonts w:hint="eastAsia"/>
        </w:rPr>
        <w:t>本文件按照GB/T 1.1—2020《标准化工作导则 第1部分：标准化文件的结构和起草规则》的规定起草。</w:t>
      </w:r>
    </w:p>
    <w:p w14:paraId="2E24D741" w14:textId="77777777" w:rsidR="00AB0B6E" w:rsidRDefault="00000000">
      <w:pPr>
        <w:pStyle w:val="afffe"/>
      </w:pPr>
      <w:r>
        <w:rPr>
          <w:rFonts w:hint="eastAsia"/>
        </w:rPr>
        <w:t>请注意本文件的某些内容可能涉及专利。本文件的发布机构不承担识别专利的责任。</w:t>
      </w:r>
    </w:p>
    <w:p w14:paraId="5662B659" w14:textId="77777777" w:rsidR="00AB0B6E" w:rsidRDefault="00000000">
      <w:pPr>
        <w:pStyle w:val="afffe"/>
      </w:pPr>
      <w:r>
        <w:rPr>
          <w:rFonts w:hint="eastAsia"/>
        </w:rPr>
        <w:t>本文件由山东省交通运输厅提出并组织实施。</w:t>
      </w:r>
    </w:p>
    <w:p w14:paraId="23FA5717" w14:textId="77777777" w:rsidR="00AB0B6E" w:rsidRDefault="00000000">
      <w:pPr>
        <w:pStyle w:val="afffe"/>
      </w:pPr>
      <w:r>
        <w:rPr>
          <w:rFonts w:hint="eastAsia"/>
        </w:rPr>
        <w:t>本文件由山东省交通运输标准化技术委员会归口。</w:t>
      </w:r>
    </w:p>
    <w:p w14:paraId="55EBD044" w14:textId="77777777" w:rsidR="00AB0B6E" w:rsidRDefault="00AB0B6E">
      <w:pPr>
        <w:pStyle w:val="afffe"/>
        <w:ind w:firstLineChars="0" w:firstLine="0"/>
      </w:pPr>
    </w:p>
    <w:p w14:paraId="52A1A269" w14:textId="77777777" w:rsidR="00AB0B6E" w:rsidRDefault="00AB0B6E">
      <w:pPr>
        <w:pStyle w:val="afffe"/>
        <w:sectPr w:rsidR="00AB0B6E">
          <w:headerReference w:type="even" r:id="rId10"/>
          <w:headerReference w:type="default" r:id="rId11"/>
          <w:footerReference w:type="even" r:id="rId12"/>
          <w:footerReference w:type="default" r:id="rId13"/>
          <w:pgSz w:w="11906" w:h="16838"/>
          <w:pgMar w:top="567" w:right="1134" w:bottom="1134" w:left="1418" w:header="1418" w:footer="1134" w:gutter="0"/>
          <w:pgNumType w:fmt="upperRoman" w:start="1"/>
          <w:cols w:space="720"/>
          <w:formProt w:val="0"/>
          <w:docGrid w:type="lines" w:linePitch="312"/>
        </w:sectPr>
      </w:pPr>
    </w:p>
    <w:p w14:paraId="1DE06A97" w14:textId="77777777" w:rsidR="00AB0B6E" w:rsidRDefault="00000000">
      <w:pPr>
        <w:pStyle w:val="affff2"/>
        <w:outlineLvl w:val="9"/>
      </w:pPr>
      <w:bookmarkStart w:id="25" w:name="_Toc167012696"/>
      <w:r>
        <w:rPr>
          <w:rFonts w:hint="eastAsia"/>
        </w:rPr>
        <w:lastRenderedPageBreak/>
        <w:t>预制桩</w:t>
      </w:r>
      <w:proofErr w:type="gramStart"/>
      <w:r>
        <w:rPr>
          <w:rFonts w:hint="eastAsia"/>
        </w:rPr>
        <w:t>肋</w:t>
      </w:r>
      <w:proofErr w:type="gramEnd"/>
      <w:r>
        <w:rPr>
          <w:rFonts w:hint="eastAsia"/>
        </w:rPr>
        <w:t>叠合墙技术规范</w:t>
      </w:r>
      <w:bookmarkEnd w:id="25"/>
    </w:p>
    <w:p w14:paraId="4565F188" w14:textId="77777777" w:rsidR="00AB0B6E" w:rsidRDefault="00000000">
      <w:pPr>
        <w:pStyle w:val="a4"/>
        <w:outlineLvl w:val="0"/>
      </w:pPr>
      <w:bookmarkStart w:id="26" w:name="_Toc186552218"/>
      <w:bookmarkStart w:id="27" w:name="_Toc167012697"/>
      <w:r>
        <w:rPr>
          <w:rFonts w:hint="eastAsia"/>
        </w:rPr>
        <w:t>范围</w:t>
      </w:r>
      <w:bookmarkEnd w:id="26"/>
      <w:bookmarkEnd w:id="27"/>
    </w:p>
    <w:p w14:paraId="72EFBD9A" w14:textId="77777777" w:rsidR="00AB0B6E" w:rsidRDefault="00000000">
      <w:pPr>
        <w:pStyle w:val="afffe"/>
      </w:pPr>
      <w:r>
        <w:rPr>
          <w:rFonts w:hint="eastAsia"/>
        </w:rPr>
        <w:t>本文件规定了</w:t>
      </w:r>
      <w:bookmarkStart w:id="28" w:name="_Hlk165214022"/>
      <w:r>
        <w:rPr>
          <w:rFonts w:hint="eastAsia"/>
        </w:rPr>
        <w:t>预制桩</w:t>
      </w:r>
      <w:proofErr w:type="gramStart"/>
      <w:r>
        <w:rPr>
          <w:rFonts w:hint="eastAsia"/>
        </w:rPr>
        <w:t>肋</w:t>
      </w:r>
      <w:proofErr w:type="gramEnd"/>
      <w:r>
        <w:rPr>
          <w:rFonts w:hint="eastAsia"/>
        </w:rPr>
        <w:t>叠合墙的设计、预制桩的制作、吊运和堆放、施工及质量验收</w:t>
      </w:r>
      <w:bookmarkEnd w:id="28"/>
      <w:r>
        <w:rPr>
          <w:rFonts w:hint="eastAsia"/>
        </w:rPr>
        <w:t>的技术要求。</w:t>
      </w:r>
    </w:p>
    <w:p w14:paraId="7249BCEC" w14:textId="77777777" w:rsidR="00AB0B6E" w:rsidRDefault="00000000">
      <w:pPr>
        <w:pStyle w:val="afffe"/>
      </w:pPr>
      <w:r>
        <w:rPr>
          <w:rFonts w:hint="eastAsia"/>
        </w:rPr>
        <w:t>本文件适用于预制桩作为基坑围护结构并与地下结构侧墙相互叠合的设计、施工和质量验收。</w:t>
      </w:r>
    </w:p>
    <w:p w14:paraId="11E18CDE" w14:textId="77777777" w:rsidR="00AB0B6E" w:rsidRDefault="00000000">
      <w:pPr>
        <w:pStyle w:val="a4"/>
        <w:outlineLvl w:val="0"/>
      </w:pPr>
      <w:bookmarkStart w:id="29" w:name="_Toc186552219"/>
      <w:bookmarkStart w:id="30" w:name="_Toc167012698"/>
      <w:r>
        <w:rPr>
          <w:rFonts w:hint="eastAsia"/>
        </w:rPr>
        <w:t>规范性引用文件</w:t>
      </w:r>
      <w:bookmarkEnd w:id="29"/>
      <w:bookmarkEnd w:id="30"/>
    </w:p>
    <w:p w14:paraId="14E5E01E" w14:textId="77777777" w:rsidR="00AB0B6E" w:rsidRDefault="00000000">
      <w:pPr>
        <w:pStyle w:val="afffe"/>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1D38C9B" w14:textId="77777777" w:rsidR="00AB0B6E" w:rsidRDefault="00000000">
      <w:pPr>
        <w:pStyle w:val="afffe"/>
      </w:pPr>
      <w:r>
        <w:rPr>
          <w:rFonts w:hint="eastAsia"/>
        </w:rPr>
        <w:t>GB</w:t>
      </w:r>
      <w:r>
        <w:t xml:space="preserve"> </w:t>
      </w:r>
      <w:r>
        <w:rPr>
          <w:rFonts w:hint="eastAsia"/>
        </w:rPr>
        <w:t>175</w:t>
      </w:r>
      <w:r>
        <w:t xml:space="preserve">  </w:t>
      </w:r>
      <w:r>
        <w:rPr>
          <w:rFonts w:hint="eastAsia"/>
        </w:rPr>
        <w:t>通用硅酸盐水泥</w:t>
      </w:r>
    </w:p>
    <w:p w14:paraId="3BC5E881" w14:textId="77777777" w:rsidR="00AB0B6E" w:rsidRDefault="00000000">
      <w:pPr>
        <w:pStyle w:val="afffe"/>
      </w:pPr>
      <w:r>
        <w:rPr>
          <w:rFonts w:hint="eastAsia"/>
        </w:rPr>
        <w:t>G</w:t>
      </w:r>
      <w:r>
        <w:t xml:space="preserve">B 8076  </w:t>
      </w:r>
      <w:r>
        <w:rPr>
          <w:rFonts w:hint="eastAsia"/>
        </w:rPr>
        <w:t>混凝土外加剂</w:t>
      </w:r>
    </w:p>
    <w:p w14:paraId="327580AB" w14:textId="77777777" w:rsidR="00AB0B6E" w:rsidRDefault="00000000">
      <w:pPr>
        <w:pStyle w:val="afffe"/>
      </w:pPr>
      <w:r>
        <w:rPr>
          <w:rFonts w:hint="eastAsia"/>
        </w:rPr>
        <w:t>GB 13476  先张法预应力混凝土管桩</w:t>
      </w:r>
    </w:p>
    <w:p w14:paraId="60D5F7DC" w14:textId="77777777" w:rsidR="00AB0B6E" w:rsidRDefault="00000000">
      <w:pPr>
        <w:pStyle w:val="afffe"/>
      </w:pPr>
      <w:r>
        <w:rPr>
          <w:rFonts w:hint="eastAsia"/>
        </w:rPr>
        <w:t>GB</w:t>
      </w:r>
      <w:r>
        <w:t xml:space="preserve"> </w:t>
      </w:r>
      <w:r>
        <w:rPr>
          <w:rFonts w:hint="eastAsia"/>
        </w:rPr>
        <w:t>50010</w:t>
      </w:r>
      <w:r>
        <w:t xml:space="preserve">  </w:t>
      </w:r>
      <w:r>
        <w:rPr>
          <w:rFonts w:hint="eastAsia"/>
        </w:rPr>
        <w:t>混凝土结构设计规范</w:t>
      </w:r>
    </w:p>
    <w:p w14:paraId="0B92A7AA" w14:textId="77777777" w:rsidR="00AB0B6E" w:rsidRDefault="00000000">
      <w:pPr>
        <w:pStyle w:val="afffe"/>
      </w:pPr>
      <w:r>
        <w:rPr>
          <w:rFonts w:hint="eastAsia"/>
        </w:rPr>
        <w:t>GB 50017  钢结构设计规范</w:t>
      </w:r>
    </w:p>
    <w:p w14:paraId="1436D816" w14:textId="77777777" w:rsidR="00AB0B6E" w:rsidRDefault="00000000">
      <w:pPr>
        <w:pStyle w:val="afffe"/>
      </w:pPr>
      <w:r>
        <w:rPr>
          <w:rFonts w:hint="eastAsia"/>
        </w:rPr>
        <w:t>GB 50108  地下工程防水技术规范</w:t>
      </w:r>
    </w:p>
    <w:p w14:paraId="170C87BB" w14:textId="77777777" w:rsidR="00AB0B6E" w:rsidRDefault="00000000">
      <w:pPr>
        <w:pStyle w:val="afffe"/>
      </w:pPr>
      <w:r>
        <w:rPr>
          <w:rFonts w:hint="eastAsia"/>
        </w:rPr>
        <w:t>GB</w:t>
      </w:r>
      <w:r>
        <w:t xml:space="preserve"> </w:t>
      </w:r>
      <w:r>
        <w:rPr>
          <w:rFonts w:hint="eastAsia"/>
        </w:rPr>
        <w:t>50204</w:t>
      </w:r>
      <w:r>
        <w:t xml:space="preserve">  </w:t>
      </w:r>
      <w:r>
        <w:rPr>
          <w:rFonts w:hint="eastAsia"/>
        </w:rPr>
        <w:t>混凝土结构工程施工质量验收规范</w:t>
      </w:r>
    </w:p>
    <w:p w14:paraId="56BFCC33" w14:textId="77777777" w:rsidR="00AB0B6E" w:rsidRDefault="00000000">
      <w:pPr>
        <w:pStyle w:val="afffe"/>
      </w:pPr>
      <w:r>
        <w:t>GB 50</w:t>
      </w:r>
      <w:r>
        <w:rPr>
          <w:rFonts w:hint="eastAsia"/>
        </w:rPr>
        <w:t>666</w:t>
      </w:r>
      <w:r>
        <w:t xml:space="preserve">  </w:t>
      </w:r>
      <w:r>
        <w:rPr>
          <w:rFonts w:hint="eastAsia"/>
        </w:rPr>
        <w:t>混凝土结构工程施工规范</w:t>
      </w:r>
    </w:p>
    <w:p w14:paraId="1709B45F" w14:textId="77777777" w:rsidR="00AB0B6E" w:rsidRDefault="00000000">
      <w:pPr>
        <w:pStyle w:val="afffe"/>
      </w:pPr>
      <w:r>
        <w:t>GB 55006  钢结构</w:t>
      </w:r>
      <w:r>
        <w:rPr>
          <w:rFonts w:hint="eastAsia"/>
        </w:rPr>
        <w:t>通用</w:t>
      </w:r>
      <w:r>
        <w:t>规范</w:t>
      </w:r>
    </w:p>
    <w:p w14:paraId="6A594CF1" w14:textId="77777777" w:rsidR="00AB0B6E" w:rsidRDefault="00000000">
      <w:pPr>
        <w:pStyle w:val="afffe"/>
      </w:pPr>
      <w:r>
        <w:rPr>
          <w:rFonts w:hint="eastAsia"/>
        </w:rPr>
        <w:t>JGJ</w:t>
      </w:r>
      <w:r>
        <w:t xml:space="preserve"> </w:t>
      </w:r>
      <w:r>
        <w:rPr>
          <w:rFonts w:hint="eastAsia"/>
        </w:rPr>
        <w:t>94</w:t>
      </w:r>
      <w:r>
        <w:t xml:space="preserve">  </w:t>
      </w:r>
      <w:r>
        <w:rPr>
          <w:rFonts w:hint="eastAsia"/>
        </w:rPr>
        <w:t>建筑桩基技术规范</w:t>
      </w:r>
    </w:p>
    <w:p w14:paraId="7EE9AEBC" w14:textId="77777777" w:rsidR="00AB0B6E" w:rsidRDefault="00000000">
      <w:pPr>
        <w:pStyle w:val="afffe"/>
      </w:pPr>
      <w:r>
        <w:t xml:space="preserve">JGJ 120  </w:t>
      </w:r>
      <w:r>
        <w:rPr>
          <w:rFonts w:hint="eastAsia"/>
        </w:rPr>
        <w:t>建筑基坑支护技术规程</w:t>
      </w:r>
    </w:p>
    <w:p w14:paraId="65E165CB" w14:textId="77777777" w:rsidR="00AB0B6E" w:rsidRDefault="00000000">
      <w:pPr>
        <w:pStyle w:val="afffe"/>
      </w:pPr>
      <w:r>
        <w:t>JGJ/T 395  铸钢结构技术规程</w:t>
      </w:r>
    </w:p>
    <w:p w14:paraId="130B148F" w14:textId="77777777" w:rsidR="00AB0B6E" w:rsidRDefault="00000000">
      <w:pPr>
        <w:pStyle w:val="a4"/>
        <w:outlineLvl w:val="0"/>
      </w:pPr>
      <w:bookmarkStart w:id="31" w:name="_Toc186552220"/>
      <w:bookmarkStart w:id="32" w:name="_Toc167012699"/>
      <w:r>
        <w:rPr>
          <w:rFonts w:hint="eastAsia"/>
        </w:rPr>
        <w:t>术语和定义</w:t>
      </w:r>
      <w:bookmarkEnd w:id="31"/>
      <w:bookmarkEnd w:id="32"/>
    </w:p>
    <w:p w14:paraId="2B20766F" w14:textId="77777777" w:rsidR="00AB0B6E" w:rsidRDefault="00000000">
      <w:pPr>
        <w:pStyle w:val="afffe"/>
      </w:pPr>
      <w:r>
        <w:rPr>
          <w:rFonts w:hint="eastAsia"/>
        </w:rPr>
        <w:t>下列术语和定义适用于本文件。</w:t>
      </w:r>
    </w:p>
    <w:p w14:paraId="176C5AEA" w14:textId="77777777" w:rsidR="00AB0B6E" w:rsidRDefault="00AB0B6E">
      <w:pPr>
        <w:pStyle w:val="a5"/>
        <w:outlineLvl w:val="9"/>
      </w:pPr>
      <w:bookmarkStart w:id="33" w:name="_Toc167012700"/>
      <w:bookmarkStart w:id="34" w:name="_Toc132190044"/>
      <w:bookmarkStart w:id="35" w:name="_Toc128749189"/>
      <w:bookmarkEnd w:id="33"/>
      <w:bookmarkEnd w:id="34"/>
      <w:bookmarkEnd w:id="35"/>
    </w:p>
    <w:p w14:paraId="32E88DA3" w14:textId="77777777" w:rsidR="00AB0B6E" w:rsidRDefault="00000000">
      <w:pPr>
        <w:pStyle w:val="a5"/>
        <w:numPr>
          <w:ilvl w:val="1"/>
          <w:numId w:val="0"/>
        </w:numPr>
        <w:spacing w:afterLines="0" w:after="0"/>
        <w:ind w:firstLineChars="200" w:firstLine="420"/>
        <w:outlineLvl w:val="9"/>
        <w:rPr>
          <w:rFonts w:ascii="Times New Roman"/>
        </w:rPr>
      </w:pPr>
      <w:r>
        <w:rPr>
          <w:rFonts w:ascii="Times New Roman" w:hint="eastAsia"/>
        </w:rPr>
        <w:t>预制桩</w:t>
      </w:r>
      <w:proofErr w:type="gramStart"/>
      <w:r>
        <w:rPr>
          <w:rFonts w:ascii="Times New Roman" w:hint="eastAsia"/>
        </w:rPr>
        <w:t>肋</w:t>
      </w:r>
      <w:proofErr w:type="gramEnd"/>
      <w:r>
        <w:rPr>
          <w:rFonts w:ascii="Times New Roman" w:hint="eastAsia"/>
        </w:rPr>
        <w:t>叠合墙</w:t>
      </w:r>
      <w:r>
        <w:rPr>
          <w:rFonts w:ascii="Times New Roman"/>
        </w:rPr>
        <w:t xml:space="preserve">　</w:t>
      </w:r>
      <w:r>
        <w:rPr>
          <w:rFonts w:ascii="Times New Roman"/>
          <w:b/>
          <w:bCs/>
        </w:rPr>
        <w:t>composite wall</w:t>
      </w:r>
      <w:r>
        <w:rPr>
          <w:rFonts w:ascii="Times New Roman" w:hint="eastAsia"/>
          <w:b/>
          <w:bCs/>
        </w:rPr>
        <w:t xml:space="preserve"> of precast pile with ribs</w:t>
      </w:r>
    </w:p>
    <w:p w14:paraId="1E8E7CC2" w14:textId="77777777" w:rsidR="00AB0B6E" w:rsidRDefault="00000000">
      <w:pPr>
        <w:pStyle w:val="afffe"/>
        <w:adjustRightInd w:val="0"/>
        <w:snapToGrid w:val="0"/>
        <w:rPr>
          <w:rFonts w:ascii="Times New Roman"/>
        </w:rPr>
      </w:pPr>
      <w:r>
        <w:rPr>
          <w:rFonts w:ascii="Times New Roman" w:hint="eastAsia"/>
        </w:rPr>
        <w:t>预制桩作为基坑</w:t>
      </w:r>
      <w:proofErr w:type="gramStart"/>
      <w:r>
        <w:rPr>
          <w:rFonts w:ascii="Times New Roman" w:hint="eastAsia"/>
        </w:rPr>
        <w:t>围护支挡构件</w:t>
      </w:r>
      <w:proofErr w:type="gramEnd"/>
      <w:r>
        <w:rPr>
          <w:rFonts w:ascii="Times New Roman" w:hint="eastAsia"/>
        </w:rPr>
        <w:t>，并通过</w:t>
      </w:r>
      <w:proofErr w:type="gramStart"/>
      <w:r>
        <w:rPr>
          <w:rFonts w:ascii="Times New Roman" w:hint="eastAsia"/>
        </w:rPr>
        <w:t>抗剪措施</w:t>
      </w:r>
      <w:proofErr w:type="gramEnd"/>
      <w:r>
        <w:rPr>
          <w:rFonts w:ascii="Times New Roman" w:hint="eastAsia"/>
        </w:rPr>
        <w:t>与地下结构侧墙进行叠合受力的一种墙体。</w:t>
      </w:r>
      <w:bookmarkStart w:id="36" w:name="_Toc128749190"/>
      <w:bookmarkStart w:id="37" w:name="_Toc132190045"/>
      <w:bookmarkEnd w:id="36"/>
      <w:bookmarkEnd w:id="37"/>
    </w:p>
    <w:p w14:paraId="5B54F072" w14:textId="77777777" w:rsidR="00AB0B6E" w:rsidRDefault="00AB0B6E">
      <w:pPr>
        <w:pStyle w:val="a5"/>
        <w:outlineLvl w:val="9"/>
        <w:rPr>
          <w:rFonts w:ascii="Times New Roman"/>
        </w:rPr>
      </w:pPr>
      <w:bookmarkStart w:id="38" w:name="_Toc132190046"/>
      <w:bookmarkStart w:id="39" w:name="_Toc132190047"/>
      <w:bookmarkStart w:id="40" w:name="_Toc128749192"/>
      <w:bookmarkStart w:id="41" w:name="_Toc167012701"/>
      <w:bookmarkStart w:id="42" w:name="_Toc128749193"/>
      <w:bookmarkStart w:id="43" w:name="_Toc128749191"/>
      <w:bookmarkEnd w:id="38"/>
      <w:bookmarkEnd w:id="39"/>
      <w:bookmarkEnd w:id="40"/>
      <w:bookmarkEnd w:id="41"/>
      <w:bookmarkEnd w:id="42"/>
      <w:bookmarkEnd w:id="43"/>
    </w:p>
    <w:p w14:paraId="64993AAD" w14:textId="77777777" w:rsidR="00AB0B6E" w:rsidRDefault="00000000">
      <w:pPr>
        <w:pStyle w:val="a5"/>
        <w:numPr>
          <w:ilvl w:val="1"/>
          <w:numId w:val="0"/>
        </w:numPr>
        <w:spacing w:afterLines="0" w:after="0"/>
        <w:ind w:firstLineChars="200" w:firstLine="420"/>
        <w:outlineLvl w:val="9"/>
        <w:rPr>
          <w:rFonts w:ascii="Times New Roman"/>
        </w:rPr>
      </w:pPr>
      <w:r>
        <w:rPr>
          <w:rFonts w:ascii="Times New Roman" w:hint="eastAsia"/>
        </w:rPr>
        <w:t>承插式桩接头</w:t>
      </w:r>
      <w:r>
        <w:rPr>
          <w:rFonts w:ascii="Times New Roman"/>
        </w:rPr>
        <w:t xml:space="preserve">　</w:t>
      </w:r>
      <w:r>
        <w:rPr>
          <w:rFonts w:ascii="Times New Roman"/>
          <w:b/>
          <w:bCs/>
        </w:rPr>
        <w:t>socket and spigot joint</w:t>
      </w:r>
      <w:r>
        <w:rPr>
          <w:rFonts w:ascii="Times New Roman" w:hint="eastAsia"/>
          <w:b/>
          <w:bCs/>
        </w:rPr>
        <w:t xml:space="preserve"> of pile</w:t>
      </w:r>
    </w:p>
    <w:p w14:paraId="656CE2F3" w14:textId="77777777" w:rsidR="00AB0B6E" w:rsidRDefault="00000000">
      <w:pPr>
        <w:pStyle w:val="afffe"/>
        <w:rPr>
          <w:rFonts w:ascii="Times New Roman"/>
        </w:rPr>
      </w:pPr>
      <w:r>
        <w:rPr>
          <w:rFonts w:ascii="Times New Roman" w:hint="eastAsia"/>
        </w:rPr>
        <w:t>一种用于连接上下两节桩，包含公扣、</w:t>
      </w:r>
      <w:proofErr w:type="gramStart"/>
      <w:r>
        <w:rPr>
          <w:rFonts w:ascii="Times New Roman" w:hint="eastAsia"/>
        </w:rPr>
        <w:t>母扣和</w:t>
      </w:r>
      <w:proofErr w:type="gramEnd"/>
      <w:r>
        <w:rPr>
          <w:rFonts w:ascii="Times New Roman" w:hint="eastAsia"/>
        </w:rPr>
        <w:t>连接配件的接头。</w:t>
      </w:r>
    </w:p>
    <w:p w14:paraId="1D4B77E5" w14:textId="77777777" w:rsidR="00AB0B6E" w:rsidRDefault="00000000">
      <w:pPr>
        <w:pStyle w:val="afffe"/>
        <w:rPr>
          <w:rFonts w:ascii="Times New Roman"/>
        </w:rPr>
      </w:pPr>
      <w:r>
        <w:rPr>
          <w:rFonts w:ascii="黑体" w:eastAsia="黑体" w:hAnsi="黑体" w:cs="黑体" w:hint="eastAsia"/>
        </w:rPr>
        <w:t>注：</w:t>
      </w:r>
      <w:r>
        <w:rPr>
          <w:rFonts w:ascii="Times New Roman" w:hint="eastAsia"/>
        </w:rPr>
        <w:t>示意图见图</w:t>
      </w:r>
      <w:r>
        <w:rPr>
          <w:rFonts w:ascii="Times New Roman" w:hint="eastAsia"/>
        </w:rPr>
        <w:t>1</w:t>
      </w:r>
      <w:r>
        <w:rPr>
          <w:rFonts w:ascii="Times New Roman" w:hint="eastAsia"/>
        </w:rPr>
        <w:t>。</w:t>
      </w:r>
    </w:p>
    <w:p w14:paraId="73434A14" w14:textId="77777777" w:rsidR="00AB0B6E" w:rsidRDefault="00000000">
      <w:pPr>
        <w:pStyle w:val="afffe"/>
        <w:ind w:firstLineChars="0" w:firstLine="0"/>
        <w:jc w:val="center"/>
        <w:rPr>
          <w:rFonts w:ascii="Times New Roman"/>
        </w:rPr>
      </w:pPr>
      <w:r>
        <w:rPr>
          <w:noProof/>
        </w:rPr>
        <w:lastRenderedPageBreak/>
        <w:drawing>
          <wp:inline distT="0" distB="0" distL="114300" distR="114300" wp14:anchorId="7B268D32" wp14:editId="1103B1E6">
            <wp:extent cx="2647950" cy="2047875"/>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2647950" cy="2047875"/>
                    </a:xfrm>
                    <a:prstGeom prst="rect">
                      <a:avLst/>
                    </a:prstGeom>
                    <a:noFill/>
                    <a:ln>
                      <a:noFill/>
                    </a:ln>
                  </pic:spPr>
                </pic:pic>
              </a:graphicData>
            </a:graphic>
          </wp:inline>
        </w:drawing>
      </w:r>
    </w:p>
    <w:p w14:paraId="777DE2D0" w14:textId="77777777" w:rsidR="00AB0B6E" w:rsidRDefault="00000000">
      <w:pPr>
        <w:pStyle w:val="afffe"/>
        <w:ind w:firstLine="360"/>
        <w:jc w:val="left"/>
        <w:rPr>
          <w:sz w:val="18"/>
          <w:szCs w:val="18"/>
        </w:rPr>
      </w:pPr>
      <w:r>
        <w:rPr>
          <w:rFonts w:hint="eastAsia"/>
          <w:sz w:val="18"/>
          <w:szCs w:val="18"/>
        </w:rPr>
        <w:t>标引序号说明：</w:t>
      </w:r>
    </w:p>
    <w:p w14:paraId="33734804" w14:textId="77777777" w:rsidR="00AB0B6E" w:rsidRDefault="00000000">
      <w:pPr>
        <w:pStyle w:val="afffe"/>
        <w:autoSpaceDE/>
        <w:autoSpaceDN/>
        <w:ind w:firstLine="360"/>
        <w:rPr>
          <w:sz w:val="18"/>
          <w:szCs w:val="18"/>
        </w:rPr>
      </w:pPr>
      <w:r>
        <w:rPr>
          <w:rFonts w:hint="eastAsia"/>
          <w:sz w:val="18"/>
          <w:szCs w:val="18"/>
        </w:rPr>
        <w:t>1——公扣；</w:t>
      </w:r>
    </w:p>
    <w:p w14:paraId="689E7E11" w14:textId="77777777" w:rsidR="00AB0B6E" w:rsidRDefault="00000000">
      <w:pPr>
        <w:pStyle w:val="afffe"/>
        <w:autoSpaceDE/>
        <w:autoSpaceDN/>
        <w:ind w:firstLine="360"/>
        <w:rPr>
          <w:sz w:val="18"/>
          <w:szCs w:val="18"/>
        </w:rPr>
      </w:pPr>
      <w:r>
        <w:rPr>
          <w:rFonts w:hint="eastAsia"/>
          <w:sz w:val="18"/>
          <w:szCs w:val="18"/>
        </w:rPr>
        <w:t>2——母扣；</w:t>
      </w:r>
    </w:p>
    <w:p w14:paraId="2357505B" w14:textId="77777777" w:rsidR="00AB0B6E" w:rsidRDefault="00000000">
      <w:pPr>
        <w:pStyle w:val="afffe"/>
        <w:autoSpaceDE/>
        <w:autoSpaceDN/>
        <w:ind w:firstLine="360"/>
        <w:rPr>
          <w:sz w:val="18"/>
          <w:szCs w:val="18"/>
        </w:rPr>
      </w:pPr>
      <w:r>
        <w:rPr>
          <w:rFonts w:hint="eastAsia"/>
          <w:sz w:val="18"/>
          <w:szCs w:val="18"/>
        </w:rPr>
        <w:t>3——连接配件。</w:t>
      </w:r>
    </w:p>
    <w:p w14:paraId="67B28866" w14:textId="77777777" w:rsidR="00AB0B6E" w:rsidRDefault="00000000">
      <w:pPr>
        <w:pStyle w:val="af4"/>
        <w:rPr>
          <w:sz w:val="18"/>
          <w:szCs w:val="18"/>
        </w:rPr>
      </w:pPr>
      <w:r>
        <w:rPr>
          <w:rFonts w:hint="eastAsia"/>
        </w:rPr>
        <w:t>承插式桩接头示意图</w:t>
      </w:r>
    </w:p>
    <w:p w14:paraId="4727ACFC" w14:textId="77777777" w:rsidR="00AB0B6E" w:rsidRDefault="00AB0B6E">
      <w:pPr>
        <w:pStyle w:val="a5"/>
        <w:outlineLvl w:val="9"/>
        <w:rPr>
          <w:rFonts w:ascii="Times New Roman"/>
        </w:rPr>
      </w:pPr>
      <w:bookmarkStart w:id="44" w:name="_Toc167012702"/>
      <w:bookmarkEnd w:id="44"/>
    </w:p>
    <w:p w14:paraId="58242A05" w14:textId="77777777" w:rsidR="00AB0B6E" w:rsidRDefault="00000000">
      <w:pPr>
        <w:pStyle w:val="a5"/>
        <w:numPr>
          <w:ilvl w:val="1"/>
          <w:numId w:val="0"/>
        </w:numPr>
        <w:spacing w:afterLines="0" w:after="0"/>
        <w:ind w:firstLineChars="200" w:firstLine="420"/>
        <w:outlineLvl w:val="9"/>
        <w:rPr>
          <w:rFonts w:ascii="Times New Roman"/>
        </w:rPr>
      </w:pPr>
      <w:proofErr w:type="gramStart"/>
      <w:r>
        <w:rPr>
          <w:rFonts w:ascii="Times New Roman" w:hint="eastAsia"/>
        </w:rPr>
        <w:t>桩顶连接器</w:t>
      </w:r>
      <w:proofErr w:type="gramEnd"/>
      <w:r>
        <w:rPr>
          <w:rFonts w:ascii="Times New Roman"/>
        </w:rPr>
        <w:t xml:space="preserve">　</w:t>
      </w:r>
      <w:r>
        <w:rPr>
          <w:rFonts w:ascii="Times New Roman"/>
          <w:b/>
          <w:bCs/>
        </w:rPr>
        <w:t>connector at the top of the pile</w:t>
      </w:r>
    </w:p>
    <w:p w14:paraId="7E6CDFEC" w14:textId="77777777" w:rsidR="00AB0B6E" w:rsidRDefault="00000000">
      <w:pPr>
        <w:pStyle w:val="afffe"/>
        <w:rPr>
          <w:rFonts w:ascii="Times New Roman"/>
        </w:rPr>
      </w:pPr>
      <w:r>
        <w:rPr>
          <w:rFonts w:ascii="Times New Roman" w:hint="eastAsia"/>
        </w:rPr>
        <w:t>设置在预制桩桩顶、用于连接送桩器的铸钢构件。</w:t>
      </w:r>
    </w:p>
    <w:p w14:paraId="31D76655" w14:textId="77777777" w:rsidR="00AB0B6E" w:rsidRDefault="00000000">
      <w:pPr>
        <w:pStyle w:val="afffe"/>
        <w:rPr>
          <w:rFonts w:ascii="Times New Roman"/>
        </w:rPr>
      </w:pPr>
      <w:r>
        <w:rPr>
          <w:rFonts w:ascii="黑体" w:eastAsia="黑体" w:hAnsi="黑体" w:cs="黑体" w:hint="eastAsia"/>
        </w:rPr>
        <w:t>注：</w:t>
      </w:r>
      <w:r>
        <w:rPr>
          <w:rFonts w:ascii="Times New Roman" w:hint="eastAsia"/>
        </w:rPr>
        <w:t>示意图见图</w:t>
      </w:r>
      <w:r>
        <w:rPr>
          <w:rFonts w:ascii="Times New Roman" w:hint="eastAsia"/>
        </w:rPr>
        <w:t>2</w:t>
      </w:r>
      <w:r>
        <w:rPr>
          <w:rFonts w:ascii="Times New Roman" w:hint="eastAsia"/>
        </w:rPr>
        <w:t>。</w:t>
      </w:r>
    </w:p>
    <w:p w14:paraId="2F7D9FA0" w14:textId="77777777" w:rsidR="00AB0B6E" w:rsidRDefault="00000000">
      <w:pPr>
        <w:pStyle w:val="afffe"/>
        <w:ind w:firstLineChars="0" w:firstLine="0"/>
        <w:jc w:val="center"/>
        <w:rPr>
          <w:rFonts w:ascii="Times New Roman"/>
        </w:rPr>
      </w:pPr>
      <w:r>
        <w:rPr>
          <w:noProof/>
        </w:rPr>
        <w:drawing>
          <wp:inline distT="0" distB="0" distL="114300" distR="114300" wp14:anchorId="55CC8C69" wp14:editId="23337967">
            <wp:extent cx="1809750" cy="1285875"/>
            <wp:effectExtent l="0" t="0" r="0"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stretch>
                      <a:fillRect/>
                    </a:stretch>
                  </pic:blipFill>
                  <pic:spPr>
                    <a:xfrm>
                      <a:off x="0" y="0"/>
                      <a:ext cx="1809750" cy="1285875"/>
                    </a:xfrm>
                    <a:prstGeom prst="rect">
                      <a:avLst/>
                    </a:prstGeom>
                    <a:noFill/>
                    <a:ln>
                      <a:noFill/>
                    </a:ln>
                  </pic:spPr>
                </pic:pic>
              </a:graphicData>
            </a:graphic>
          </wp:inline>
        </w:drawing>
      </w:r>
    </w:p>
    <w:p w14:paraId="01618150" w14:textId="77777777" w:rsidR="00AB0B6E" w:rsidRDefault="00000000">
      <w:pPr>
        <w:pStyle w:val="afffe"/>
        <w:ind w:firstLine="360"/>
        <w:jc w:val="left"/>
        <w:rPr>
          <w:sz w:val="18"/>
          <w:szCs w:val="18"/>
        </w:rPr>
      </w:pPr>
      <w:r>
        <w:rPr>
          <w:rFonts w:hint="eastAsia"/>
          <w:sz w:val="18"/>
          <w:szCs w:val="18"/>
        </w:rPr>
        <w:t>标引序号说明：</w:t>
      </w:r>
    </w:p>
    <w:p w14:paraId="14AA98C8" w14:textId="77777777" w:rsidR="00AB0B6E" w:rsidRDefault="00000000">
      <w:pPr>
        <w:pStyle w:val="afffe"/>
        <w:autoSpaceDE/>
        <w:autoSpaceDN/>
        <w:ind w:firstLine="360"/>
        <w:rPr>
          <w:sz w:val="18"/>
          <w:szCs w:val="18"/>
        </w:rPr>
      </w:pPr>
      <w:r>
        <w:rPr>
          <w:rFonts w:hint="eastAsia"/>
          <w:sz w:val="18"/>
          <w:szCs w:val="18"/>
        </w:rPr>
        <w:t>1——</w:t>
      </w:r>
      <w:proofErr w:type="gramStart"/>
      <w:r>
        <w:rPr>
          <w:rFonts w:hint="eastAsia"/>
          <w:sz w:val="18"/>
          <w:szCs w:val="18"/>
        </w:rPr>
        <w:t>桩顶连接器</w:t>
      </w:r>
      <w:proofErr w:type="gramEnd"/>
      <w:r>
        <w:rPr>
          <w:rFonts w:hint="eastAsia"/>
          <w:sz w:val="18"/>
          <w:szCs w:val="18"/>
        </w:rPr>
        <w:t>；</w:t>
      </w:r>
    </w:p>
    <w:p w14:paraId="6FB3E568" w14:textId="77777777" w:rsidR="00AB0B6E" w:rsidRDefault="00000000">
      <w:pPr>
        <w:pStyle w:val="afffe"/>
        <w:autoSpaceDE/>
        <w:autoSpaceDN/>
        <w:ind w:firstLine="360"/>
        <w:rPr>
          <w:sz w:val="18"/>
          <w:szCs w:val="18"/>
        </w:rPr>
      </w:pPr>
      <w:r>
        <w:rPr>
          <w:rFonts w:hint="eastAsia"/>
          <w:sz w:val="18"/>
          <w:szCs w:val="18"/>
        </w:rPr>
        <w:t>2——</w:t>
      </w:r>
      <w:proofErr w:type="gramStart"/>
      <w:r>
        <w:rPr>
          <w:rFonts w:hint="eastAsia"/>
          <w:sz w:val="18"/>
          <w:szCs w:val="18"/>
        </w:rPr>
        <w:t>桩顶预埋</w:t>
      </w:r>
      <w:proofErr w:type="gramEnd"/>
      <w:r>
        <w:rPr>
          <w:rFonts w:hint="eastAsia"/>
          <w:sz w:val="18"/>
          <w:szCs w:val="18"/>
        </w:rPr>
        <w:t>钢板。</w:t>
      </w:r>
    </w:p>
    <w:p w14:paraId="6374A753" w14:textId="77777777" w:rsidR="00AB0B6E" w:rsidRDefault="00000000">
      <w:pPr>
        <w:pStyle w:val="af4"/>
        <w:rPr>
          <w:sz w:val="18"/>
          <w:szCs w:val="18"/>
        </w:rPr>
      </w:pPr>
      <w:proofErr w:type="gramStart"/>
      <w:r>
        <w:rPr>
          <w:rFonts w:hint="eastAsia"/>
        </w:rPr>
        <w:t>桩顶连接器</w:t>
      </w:r>
      <w:proofErr w:type="gramEnd"/>
      <w:r>
        <w:rPr>
          <w:rFonts w:hint="eastAsia"/>
        </w:rPr>
        <w:t>示意图</w:t>
      </w:r>
    </w:p>
    <w:p w14:paraId="0D4409FA" w14:textId="77777777" w:rsidR="00AB0B6E" w:rsidRDefault="00000000">
      <w:pPr>
        <w:pStyle w:val="a4"/>
        <w:outlineLvl w:val="0"/>
      </w:pPr>
      <w:bookmarkStart w:id="45" w:name="_Toc128749195"/>
      <w:bookmarkStart w:id="46" w:name="_Toc132190049"/>
      <w:bookmarkStart w:id="47" w:name="_Toc167012703"/>
      <w:bookmarkStart w:id="48" w:name="_Toc186552221"/>
      <w:bookmarkEnd w:id="45"/>
      <w:bookmarkEnd w:id="46"/>
      <w:r>
        <w:rPr>
          <w:rFonts w:hint="eastAsia"/>
        </w:rPr>
        <w:t>总体要求</w:t>
      </w:r>
      <w:bookmarkEnd w:id="47"/>
      <w:bookmarkEnd w:id="48"/>
    </w:p>
    <w:p w14:paraId="063F61BD" w14:textId="77777777" w:rsidR="00AB0B6E" w:rsidRDefault="00000000">
      <w:pPr>
        <w:pStyle w:val="affffffe"/>
        <w:outlineLvl w:val="9"/>
      </w:pPr>
      <w:bookmarkStart w:id="49" w:name="_Toc167012704"/>
      <w:bookmarkStart w:id="50" w:name="_Toc132097016"/>
      <w:bookmarkStart w:id="51" w:name="_Toc132190051"/>
      <w:bookmarkStart w:id="52" w:name="_Toc132189903"/>
      <w:r>
        <w:rPr>
          <w:rFonts w:hint="eastAsia"/>
        </w:rPr>
        <w:t>预制桩应满足基坑支护各设计状况，</w:t>
      </w:r>
      <w:r>
        <w:t>预制桩</w:t>
      </w:r>
      <w:proofErr w:type="gramStart"/>
      <w:r>
        <w:t>肋</w:t>
      </w:r>
      <w:proofErr w:type="gramEnd"/>
      <w:r>
        <w:t>叠合墙</w:t>
      </w:r>
      <w:r>
        <w:rPr>
          <w:rFonts w:hint="eastAsia"/>
        </w:rPr>
        <w:t>应满足主体结构各设计状况。与主体结构相关的构件之间的结点连接、防水构造应满足主体结构的设计要求。</w:t>
      </w:r>
      <w:bookmarkEnd w:id="49"/>
    </w:p>
    <w:p w14:paraId="48953FB0" w14:textId="77777777" w:rsidR="00AB0B6E" w:rsidRDefault="00000000">
      <w:pPr>
        <w:pStyle w:val="affffffe"/>
        <w:outlineLvl w:val="9"/>
      </w:pPr>
      <w:bookmarkStart w:id="53" w:name="_Toc167012705"/>
      <w:r>
        <w:rPr>
          <w:rFonts w:hint="eastAsia"/>
        </w:rPr>
        <w:t>预制桩设计时，考虑基坑周边环境和地质条件的复杂程度、基坑深度等因素，安全等级应按J</w:t>
      </w:r>
      <w:r>
        <w:t>GJ 120</w:t>
      </w:r>
      <w:r>
        <w:rPr>
          <w:rFonts w:hint="eastAsia"/>
        </w:rPr>
        <w:t>的有关规定进行采用。</w:t>
      </w:r>
      <w:bookmarkEnd w:id="53"/>
    </w:p>
    <w:p w14:paraId="20B92D57" w14:textId="77777777" w:rsidR="00AB0B6E" w:rsidRDefault="00000000">
      <w:pPr>
        <w:pStyle w:val="affffffe"/>
        <w:adjustRightInd w:val="0"/>
        <w:snapToGrid w:val="0"/>
        <w:outlineLvl w:val="9"/>
      </w:pPr>
      <w:bookmarkStart w:id="54" w:name="_Toc167012706"/>
      <w:bookmarkStart w:id="55" w:name="_Toc132190053"/>
      <w:bookmarkStart w:id="56" w:name="_Toc132097018"/>
      <w:bookmarkStart w:id="57" w:name="_Toc132189905"/>
      <w:bookmarkEnd w:id="50"/>
      <w:bookmarkEnd w:id="51"/>
      <w:bookmarkEnd w:id="52"/>
      <w:r>
        <w:rPr>
          <w:rFonts w:hint="eastAsia"/>
        </w:rPr>
        <w:t>预制桩施工应单独编制专项施工方案</w:t>
      </w:r>
      <w:bookmarkStart w:id="58" w:name="_Toc128749199"/>
      <w:r>
        <w:rPr>
          <w:rFonts w:hint="eastAsia"/>
        </w:rPr>
        <w:t>，方案中场地布置重点考虑预制桩存放要求、钻机行走路径、水</w:t>
      </w:r>
      <w:proofErr w:type="gramStart"/>
      <w:r>
        <w:rPr>
          <w:rFonts w:hint="eastAsia"/>
        </w:rPr>
        <w:t>泥土压灌设备</w:t>
      </w:r>
      <w:proofErr w:type="gramEnd"/>
      <w:r>
        <w:rPr>
          <w:rFonts w:hint="eastAsia"/>
        </w:rPr>
        <w:t>的位置。</w:t>
      </w:r>
      <w:bookmarkStart w:id="59" w:name="_Toc132189906"/>
      <w:bookmarkStart w:id="60" w:name="_Toc132097019"/>
      <w:bookmarkStart w:id="61" w:name="_Toc132190054"/>
      <w:bookmarkEnd w:id="54"/>
      <w:bookmarkEnd w:id="58"/>
    </w:p>
    <w:p w14:paraId="7B0D1361" w14:textId="77777777" w:rsidR="00AB0B6E" w:rsidRDefault="00000000">
      <w:pPr>
        <w:pStyle w:val="affffffe"/>
        <w:adjustRightInd w:val="0"/>
        <w:snapToGrid w:val="0"/>
        <w:outlineLvl w:val="9"/>
      </w:pPr>
      <w:bookmarkStart w:id="62" w:name="_Toc167012707"/>
      <w:r>
        <w:rPr>
          <w:rFonts w:hint="eastAsia"/>
        </w:rPr>
        <w:lastRenderedPageBreak/>
        <w:t>当预制桩施工影响范围内存在对地基变形敏感、结构性能差的建筑物或地下管线时，不应采用易塌孔、易</w:t>
      </w:r>
      <w:proofErr w:type="gramStart"/>
      <w:r>
        <w:rPr>
          <w:rFonts w:hint="eastAsia"/>
        </w:rPr>
        <w:t>缩径或</w:t>
      </w:r>
      <w:proofErr w:type="gramEnd"/>
      <w:r>
        <w:rPr>
          <w:rFonts w:hint="eastAsia"/>
        </w:rPr>
        <w:t>有较大振动的施工工艺。</w:t>
      </w:r>
      <w:bookmarkEnd w:id="59"/>
      <w:bookmarkEnd w:id="60"/>
      <w:bookmarkEnd w:id="61"/>
      <w:bookmarkEnd w:id="62"/>
    </w:p>
    <w:p w14:paraId="3FAD79F5" w14:textId="77777777" w:rsidR="00AB0B6E" w:rsidRDefault="00000000">
      <w:pPr>
        <w:pStyle w:val="affffffe"/>
        <w:adjustRightInd w:val="0"/>
        <w:snapToGrid w:val="0"/>
        <w:outlineLvl w:val="9"/>
      </w:pPr>
      <w:bookmarkStart w:id="63" w:name="_Toc132189907"/>
      <w:bookmarkStart w:id="64" w:name="_Toc132097020"/>
      <w:bookmarkStart w:id="65" w:name="_Toc167012708"/>
      <w:bookmarkStart w:id="66" w:name="_Toc132190055"/>
      <w:r>
        <w:rPr>
          <w:rFonts w:hint="eastAsia"/>
        </w:rPr>
        <w:t>预制桩施工应按设计要求进行成桩工艺性试验，并通过试验确定施工工艺及施工参数。</w:t>
      </w:r>
      <w:bookmarkEnd w:id="63"/>
      <w:bookmarkEnd w:id="64"/>
      <w:bookmarkEnd w:id="65"/>
      <w:bookmarkEnd w:id="66"/>
    </w:p>
    <w:p w14:paraId="7D2C8072" w14:textId="77777777" w:rsidR="00AB0B6E" w:rsidRDefault="00000000">
      <w:pPr>
        <w:pStyle w:val="affffffe"/>
        <w:adjustRightInd w:val="0"/>
        <w:snapToGrid w:val="0"/>
        <w:outlineLvl w:val="9"/>
      </w:pPr>
      <w:bookmarkStart w:id="67" w:name="_Toc132190056"/>
      <w:bookmarkStart w:id="68" w:name="_Toc132097022"/>
      <w:bookmarkStart w:id="69" w:name="_Toc132189908"/>
      <w:bookmarkStart w:id="70" w:name="_Toc167012709"/>
      <w:r>
        <w:rPr>
          <w:rFonts w:hint="eastAsia"/>
        </w:rPr>
        <w:t>预制桩</w:t>
      </w:r>
      <w:proofErr w:type="gramStart"/>
      <w:r>
        <w:rPr>
          <w:rFonts w:hint="eastAsia"/>
        </w:rPr>
        <w:t>肋</w:t>
      </w:r>
      <w:proofErr w:type="gramEnd"/>
      <w:r>
        <w:rPr>
          <w:rFonts w:hint="eastAsia"/>
        </w:rPr>
        <w:t>叠合</w:t>
      </w:r>
      <w:proofErr w:type="gramStart"/>
      <w:r>
        <w:rPr>
          <w:rFonts w:hint="eastAsia"/>
        </w:rPr>
        <w:t>墙施工</w:t>
      </w:r>
      <w:proofErr w:type="gramEnd"/>
      <w:r>
        <w:rPr>
          <w:rFonts w:hint="eastAsia"/>
        </w:rPr>
        <w:t>工艺的检验按时间顺序分为3个阶段：制桩检验、送桩施工检验和叠合检验。</w:t>
      </w:r>
      <w:bookmarkEnd w:id="67"/>
      <w:bookmarkEnd w:id="68"/>
      <w:bookmarkEnd w:id="69"/>
      <w:bookmarkEnd w:id="70"/>
    </w:p>
    <w:p w14:paraId="2F488A74" w14:textId="77777777" w:rsidR="00AB0B6E" w:rsidRDefault="00000000">
      <w:pPr>
        <w:pStyle w:val="a4"/>
        <w:outlineLvl w:val="0"/>
      </w:pPr>
      <w:bookmarkStart w:id="71" w:name="_Toc167012710"/>
      <w:bookmarkStart w:id="72" w:name="_Toc186552222"/>
      <w:bookmarkEnd w:id="55"/>
      <w:bookmarkEnd w:id="56"/>
      <w:bookmarkEnd w:id="57"/>
      <w:r>
        <w:rPr>
          <w:rFonts w:hint="eastAsia"/>
        </w:rPr>
        <w:t>设计</w:t>
      </w:r>
      <w:bookmarkEnd w:id="71"/>
      <w:bookmarkEnd w:id="72"/>
    </w:p>
    <w:p w14:paraId="0CF4537E" w14:textId="77777777" w:rsidR="00AB0B6E" w:rsidRDefault="00000000">
      <w:pPr>
        <w:pStyle w:val="affffffe"/>
        <w:outlineLvl w:val="1"/>
      </w:pPr>
      <w:bookmarkStart w:id="73" w:name="_Toc167012711"/>
      <w:bookmarkStart w:id="74" w:name="_Toc186552223"/>
      <w:r>
        <w:rPr>
          <w:rFonts w:hint="eastAsia"/>
        </w:rPr>
        <w:t>预制桩</w:t>
      </w:r>
      <w:bookmarkEnd w:id="73"/>
      <w:bookmarkEnd w:id="74"/>
    </w:p>
    <w:p w14:paraId="1433C9F7" w14:textId="77777777" w:rsidR="00AB0B6E" w:rsidRDefault="00000000">
      <w:pPr>
        <w:pStyle w:val="a6"/>
      </w:pPr>
      <w:r>
        <w:rPr>
          <w:rFonts w:hint="eastAsia"/>
        </w:rPr>
        <w:t>支护结构应按承载能力极限状态和正常使用极限状态进行设计。</w:t>
      </w:r>
    </w:p>
    <w:p w14:paraId="21D7BD42" w14:textId="77777777" w:rsidR="00AB0B6E" w:rsidRDefault="00000000">
      <w:pPr>
        <w:pStyle w:val="a6"/>
      </w:pPr>
      <w:r>
        <w:rPr>
          <w:rFonts w:hint="eastAsia"/>
        </w:rPr>
        <w:t>预制桩的正截面和斜截面承载力，应同时满足G</w:t>
      </w:r>
      <w:r>
        <w:t>B 50010</w:t>
      </w:r>
      <w:r>
        <w:rPr>
          <w:rFonts w:hint="eastAsia"/>
        </w:rPr>
        <w:t>和J</w:t>
      </w:r>
      <w:r>
        <w:t>GJ 120</w:t>
      </w:r>
      <w:r>
        <w:rPr>
          <w:rFonts w:hint="eastAsia"/>
        </w:rPr>
        <w:t>的有关规定。</w:t>
      </w:r>
    </w:p>
    <w:p w14:paraId="6C844D1D" w14:textId="77777777" w:rsidR="00AB0B6E" w:rsidRDefault="00000000">
      <w:pPr>
        <w:pStyle w:val="a6"/>
      </w:pPr>
      <w:r>
        <w:rPr>
          <w:rFonts w:hint="eastAsia"/>
        </w:rPr>
        <w:t>预制桩宜采用实心桩，截面宜采用方形、矩形。</w:t>
      </w:r>
    </w:p>
    <w:p w14:paraId="2A8F3DF5" w14:textId="77777777" w:rsidR="00AB0B6E" w:rsidRDefault="00000000">
      <w:pPr>
        <w:pStyle w:val="a6"/>
      </w:pPr>
      <w:r>
        <w:rPr>
          <w:rFonts w:hint="eastAsia"/>
        </w:rPr>
        <w:t>预制桩的分节长度应根据贮存运输要求、吊装设备能力、现场作业条件、桩基设计长度等因素综合确定，接头位置应避开弯矩和剪力较大区段。</w:t>
      </w:r>
    </w:p>
    <w:p w14:paraId="5448B38C" w14:textId="77777777" w:rsidR="00AB0B6E" w:rsidRDefault="00000000">
      <w:pPr>
        <w:pStyle w:val="a6"/>
      </w:pPr>
      <w:proofErr w:type="gramStart"/>
      <w:r>
        <w:rPr>
          <w:rFonts w:hint="eastAsia"/>
        </w:rPr>
        <w:t>预制桩受弯承载力</w:t>
      </w:r>
      <w:proofErr w:type="gramEnd"/>
      <w:r>
        <w:rPr>
          <w:rFonts w:hint="eastAsia"/>
        </w:rPr>
        <w:t>极限状态取决于</w:t>
      </w:r>
      <w:proofErr w:type="gramStart"/>
      <w:r>
        <w:rPr>
          <w:rFonts w:hint="eastAsia"/>
        </w:rPr>
        <w:t>桩本身</w:t>
      </w:r>
      <w:proofErr w:type="gramEnd"/>
      <w:r>
        <w:rPr>
          <w:rFonts w:hint="eastAsia"/>
        </w:rPr>
        <w:t>承载能力和接头力学性能。预制桩本身承载能力满足</w:t>
      </w:r>
      <w:r>
        <w:t>GB 50204的规定，接头承载能力应按照GB 50017计算和试验值对比，取较小值；二者都应满足设计要求。</w:t>
      </w:r>
    </w:p>
    <w:p w14:paraId="041CF002" w14:textId="77777777" w:rsidR="00AB0B6E" w:rsidRDefault="00000000">
      <w:pPr>
        <w:pStyle w:val="a6"/>
      </w:pPr>
      <w:r>
        <w:rPr>
          <w:rFonts w:hint="eastAsia"/>
        </w:rPr>
        <w:t>预制桩作为悬臂式支护结构时，长边大于或等于</w:t>
      </w:r>
      <w:r>
        <w:t>550 mm；预制桩作为锚拉式或支撑式支护结构时，长边大于或等于350 mm；</w:t>
      </w:r>
      <w:r>
        <w:rPr>
          <w:rFonts w:hint="eastAsia"/>
        </w:rPr>
        <w:t>短边不小于250mm；</w:t>
      </w:r>
      <w:r>
        <w:t xml:space="preserve">预制桩的中心距不大于长边长度的2 </w:t>
      </w:r>
      <w:proofErr w:type="gramStart"/>
      <w:r>
        <w:t>倍</w:t>
      </w:r>
      <w:proofErr w:type="gramEnd"/>
      <w:r>
        <w:t>。</w:t>
      </w:r>
    </w:p>
    <w:p w14:paraId="653030A6" w14:textId="77777777" w:rsidR="00AB0B6E" w:rsidRDefault="00000000">
      <w:pPr>
        <w:pStyle w:val="a6"/>
      </w:pPr>
      <w:r>
        <w:rPr>
          <w:rFonts w:hint="eastAsia"/>
        </w:rPr>
        <w:t>预制桩的桩身混凝土强度等级、钢筋配置应符合JGJ 120和JGJ 94的有关规定，钢筋保护层厚度根据结构的耐久性和工程环境选用，钢筋保护层厚度不小于50mm。</w:t>
      </w:r>
    </w:p>
    <w:p w14:paraId="04C74BCA" w14:textId="77777777" w:rsidR="00AB0B6E" w:rsidRDefault="00000000">
      <w:pPr>
        <w:pStyle w:val="a6"/>
      </w:pPr>
      <w:r>
        <w:rPr>
          <w:rFonts w:hint="eastAsia"/>
        </w:rPr>
        <w:t>桩接头、预埋件的防腐和耐久性不低于预制桩本身的防腐和耐久性要求。</w:t>
      </w:r>
    </w:p>
    <w:p w14:paraId="6CB3450B" w14:textId="77777777" w:rsidR="00AB0B6E" w:rsidRDefault="00000000">
      <w:pPr>
        <w:pStyle w:val="affffffe"/>
        <w:outlineLvl w:val="1"/>
      </w:pPr>
      <w:bookmarkStart w:id="75" w:name="_Toc186552224"/>
      <w:r>
        <w:rPr>
          <w:rFonts w:hint="eastAsia"/>
        </w:rPr>
        <w:t>预制桩</w:t>
      </w:r>
      <w:proofErr w:type="gramStart"/>
      <w:r>
        <w:rPr>
          <w:rFonts w:hint="eastAsia"/>
        </w:rPr>
        <w:t>肋</w:t>
      </w:r>
      <w:proofErr w:type="gramEnd"/>
      <w:r>
        <w:rPr>
          <w:rFonts w:hint="eastAsia"/>
        </w:rPr>
        <w:t>叠合墙</w:t>
      </w:r>
      <w:bookmarkEnd w:id="75"/>
    </w:p>
    <w:p w14:paraId="346CADD5" w14:textId="77777777" w:rsidR="00AB0B6E" w:rsidRDefault="00000000">
      <w:pPr>
        <w:pStyle w:val="a6"/>
      </w:pPr>
      <w:r>
        <w:rPr>
          <w:rFonts w:hint="eastAsia"/>
        </w:rPr>
        <w:t>预制桩</w:t>
      </w:r>
      <w:proofErr w:type="gramStart"/>
      <w:r>
        <w:rPr>
          <w:rFonts w:hint="eastAsia"/>
        </w:rPr>
        <w:t>肋</w:t>
      </w:r>
      <w:proofErr w:type="gramEnd"/>
      <w:r>
        <w:rPr>
          <w:rFonts w:hint="eastAsia"/>
        </w:rPr>
        <w:t>叠合墙的计算与验算应符合下列规定：</w:t>
      </w:r>
    </w:p>
    <w:p w14:paraId="4855A184" w14:textId="77777777" w:rsidR="00AB0B6E" w:rsidRDefault="00000000">
      <w:pPr>
        <w:pStyle w:val="ac"/>
      </w:pPr>
      <w:r>
        <w:rPr>
          <w:rFonts w:hint="eastAsia"/>
        </w:rPr>
        <w:t>预制桩</w:t>
      </w:r>
      <w:proofErr w:type="gramStart"/>
      <w:r>
        <w:rPr>
          <w:rFonts w:hint="eastAsia"/>
        </w:rPr>
        <w:t>肋</w:t>
      </w:r>
      <w:proofErr w:type="gramEnd"/>
      <w:r>
        <w:rPr>
          <w:rFonts w:hint="eastAsia"/>
        </w:rPr>
        <w:t>叠合</w:t>
      </w:r>
      <w:proofErr w:type="gramStart"/>
      <w:r>
        <w:rPr>
          <w:rFonts w:hint="eastAsia"/>
        </w:rPr>
        <w:t>墙采用</w:t>
      </w:r>
      <w:proofErr w:type="gramEnd"/>
      <w:r>
        <w:rPr>
          <w:rFonts w:hint="eastAsia"/>
        </w:rPr>
        <w:t>以水平梁板为支撑的倒T型连续梁模型进行计算，结构分析还应考虑与支护阶段预制桩内力和变形的叠加；</w:t>
      </w:r>
    </w:p>
    <w:p w14:paraId="18221654" w14:textId="77777777" w:rsidR="00AB0B6E" w:rsidRDefault="00000000">
      <w:pPr>
        <w:pStyle w:val="ac"/>
      </w:pPr>
      <w:proofErr w:type="gramStart"/>
      <w:r>
        <w:rPr>
          <w:rFonts w:hint="eastAsia"/>
        </w:rPr>
        <w:t>桩顶冠梁</w:t>
      </w:r>
      <w:proofErr w:type="gramEnd"/>
      <w:r>
        <w:rPr>
          <w:rFonts w:hint="eastAsia"/>
        </w:rPr>
        <w:t>与预制桩的连接处应验算</w:t>
      </w:r>
      <w:proofErr w:type="gramStart"/>
      <w:r>
        <w:rPr>
          <w:rFonts w:hint="eastAsia"/>
        </w:rPr>
        <w:t>截面受剪承载力</w:t>
      </w:r>
      <w:proofErr w:type="gramEnd"/>
      <w:r>
        <w:rPr>
          <w:rFonts w:hint="eastAsia"/>
        </w:rPr>
        <w:t>。</w:t>
      </w:r>
    </w:p>
    <w:p w14:paraId="6EBF5207" w14:textId="77777777" w:rsidR="00AB0B6E" w:rsidRDefault="00000000">
      <w:pPr>
        <w:pStyle w:val="a6"/>
      </w:pPr>
      <w:r>
        <w:rPr>
          <w:rFonts w:hint="eastAsia"/>
        </w:rPr>
        <w:t>预制桩与地下结构侧墙的连接及构造应符合下列规定：</w:t>
      </w:r>
    </w:p>
    <w:p w14:paraId="3CBADB9E" w14:textId="77777777" w:rsidR="00AB0B6E" w:rsidRDefault="00000000">
      <w:pPr>
        <w:pStyle w:val="ac"/>
      </w:pPr>
      <w:r>
        <w:rPr>
          <w:rFonts w:hint="eastAsia"/>
        </w:rPr>
        <w:t>叠合面按承受剪力进行连接构造设计；</w:t>
      </w:r>
    </w:p>
    <w:p w14:paraId="678806A6" w14:textId="77777777" w:rsidR="00AB0B6E" w:rsidRDefault="00000000">
      <w:pPr>
        <w:pStyle w:val="ac"/>
      </w:pPr>
      <w:r>
        <w:rPr>
          <w:rFonts w:hint="eastAsia"/>
        </w:rPr>
        <w:t>预制桩</w:t>
      </w:r>
      <w:proofErr w:type="gramStart"/>
      <w:r>
        <w:rPr>
          <w:rFonts w:hint="eastAsia"/>
        </w:rPr>
        <w:t>肋</w:t>
      </w:r>
      <w:proofErr w:type="gramEnd"/>
      <w:r>
        <w:rPr>
          <w:rFonts w:hint="eastAsia"/>
        </w:rPr>
        <w:t>叠合墙的连接</w:t>
      </w:r>
      <w:proofErr w:type="gramStart"/>
      <w:r>
        <w:rPr>
          <w:rFonts w:hint="eastAsia"/>
        </w:rPr>
        <w:t>采用抗剪钢筋</w:t>
      </w:r>
      <w:proofErr w:type="gramEnd"/>
      <w:r>
        <w:rPr>
          <w:rFonts w:hint="eastAsia"/>
        </w:rPr>
        <w:t>形式，</w:t>
      </w:r>
      <w:proofErr w:type="gramStart"/>
      <w:r>
        <w:rPr>
          <w:rFonts w:hint="eastAsia"/>
        </w:rPr>
        <w:t>抗剪钢筋</w:t>
      </w:r>
      <w:proofErr w:type="gramEnd"/>
      <w:r>
        <w:rPr>
          <w:rFonts w:hint="eastAsia"/>
        </w:rPr>
        <w:t>直径不大于2</w:t>
      </w:r>
      <w:r>
        <w:t>0 mm</w:t>
      </w:r>
      <w:r>
        <w:rPr>
          <w:rFonts w:hint="eastAsia"/>
        </w:rPr>
        <w:t>，并采用H</w:t>
      </w:r>
      <w:r>
        <w:t>PB300</w:t>
      </w:r>
      <w:r>
        <w:rPr>
          <w:rFonts w:hint="eastAsia"/>
        </w:rPr>
        <w:t>钢筋；</w:t>
      </w:r>
      <w:proofErr w:type="gramStart"/>
      <w:r>
        <w:rPr>
          <w:rFonts w:hint="eastAsia"/>
        </w:rPr>
        <w:t>若抗剪</w:t>
      </w:r>
      <w:proofErr w:type="gramEnd"/>
      <w:r>
        <w:rPr>
          <w:rFonts w:hint="eastAsia"/>
        </w:rPr>
        <w:t>钢筋直径大于2</w:t>
      </w:r>
      <w:r>
        <w:t>0 mm</w:t>
      </w:r>
      <w:r>
        <w:rPr>
          <w:rFonts w:hint="eastAsia"/>
        </w:rPr>
        <w:t>时，采用钢筋接驳器连接；</w:t>
      </w:r>
    </w:p>
    <w:p w14:paraId="68740EBB" w14:textId="77777777" w:rsidR="00AB0B6E" w:rsidRDefault="00000000">
      <w:pPr>
        <w:pStyle w:val="ac"/>
      </w:pPr>
      <w:r>
        <w:rPr>
          <w:rFonts w:hint="eastAsia"/>
        </w:rPr>
        <w:t>叠合面进行清洗凿毛。</w:t>
      </w:r>
    </w:p>
    <w:p w14:paraId="47660283" w14:textId="77777777" w:rsidR="00AB0B6E" w:rsidRDefault="00000000">
      <w:pPr>
        <w:pStyle w:val="a6"/>
      </w:pPr>
      <w:r>
        <w:rPr>
          <w:rFonts w:hint="eastAsia"/>
        </w:rPr>
        <w:t>预制桩</w:t>
      </w:r>
      <w:proofErr w:type="gramStart"/>
      <w:r>
        <w:rPr>
          <w:rFonts w:hint="eastAsia"/>
        </w:rPr>
        <w:t>肋</w:t>
      </w:r>
      <w:proofErr w:type="gramEnd"/>
      <w:r>
        <w:rPr>
          <w:rFonts w:hint="eastAsia"/>
        </w:rPr>
        <w:t>叠合墙防水设计应符合</w:t>
      </w:r>
      <w:bookmarkStart w:id="76" w:name="_Hlk167011907"/>
      <w:r>
        <w:rPr>
          <w:rFonts w:hint="eastAsia"/>
        </w:rPr>
        <w:t>GB 50108</w:t>
      </w:r>
      <w:bookmarkEnd w:id="76"/>
      <w:r>
        <w:rPr>
          <w:rFonts w:hint="eastAsia"/>
        </w:rPr>
        <w:t>的要求，并满足下列规定：</w:t>
      </w:r>
    </w:p>
    <w:p w14:paraId="2F7B289E" w14:textId="77777777" w:rsidR="00AB0B6E" w:rsidRDefault="00000000">
      <w:pPr>
        <w:pStyle w:val="ac"/>
      </w:pPr>
      <w:r>
        <w:rPr>
          <w:rFonts w:hint="eastAsia"/>
        </w:rPr>
        <w:t>预制桩和主体结构侧墙采用防水混凝土；</w:t>
      </w:r>
    </w:p>
    <w:p w14:paraId="22D204C0" w14:textId="77777777" w:rsidR="00AB0B6E" w:rsidRDefault="00000000">
      <w:pPr>
        <w:pStyle w:val="ac"/>
      </w:pPr>
      <w:r>
        <w:rPr>
          <w:rFonts w:hint="eastAsia"/>
        </w:rPr>
        <w:t>预制桩</w:t>
      </w:r>
      <w:proofErr w:type="gramStart"/>
      <w:r>
        <w:rPr>
          <w:rFonts w:hint="eastAsia"/>
        </w:rPr>
        <w:t>肋</w:t>
      </w:r>
      <w:proofErr w:type="gramEnd"/>
      <w:r>
        <w:rPr>
          <w:rFonts w:hint="eastAsia"/>
        </w:rPr>
        <w:t>叠合墙防水等级为一级；</w:t>
      </w:r>
    </w:p>
    <w:p w14:paraId="6E0CFAEF" w14:textId="77777777" w:rsidR="00AB0B6E" w:rsidRDefault="00000000">
      <w:pPr>
        <w:pStyle w:val="ac"/>
      </w:pPr>
      <w:r>
        <w:rPr>
          <w:rFonts w:hint="eastAsia"/>
        </w:rPr>
        <w:t>叠合面的设防要求按照明挖法地下工程的施工缝进行设计。</w:t>
      </w:r>
    </w:p>
    <w:p w14:paraId="0303A414" w14:textId="77777777" w:rsidR="00AB0B6E" w:rsidRDefault="00000000">
      <w:pPr>
        <w:pStyle w:val="a4"/>
        <w:outlineLvl w:val="0"/>
      </w:pPr>
      <w:bookmarkStart w:id="77" w:name="_Toc167012713"/>
      <w:bookmarkStart w:id="78" w:name="_Toc186552225"/>
      <w:r>
        <w:rPr>
          <w:rFonts w:hint="eastAsia"/>
        </w:rPr>
        <w:t>预制桩的制作、吊运和堆放</w:t>
      </w:r>
      <w:bookmarkEnd w:id="77"/>
      <w:bookmarkEnd w:id="78"/>
    </w:p>
    <w:p w14:paraId="3DBA537B" w14:textId="77777777" w:rsidR="00AB0B6E" w:rsidRDefault="00000000">
      <w:pPr>
        <w:pStyle w:val="a5"/>
        <w:outlineLvl w:val="1"/>
      </w:pPr>
      <w:bookmarkStart w:id="79" w:name="_Toc167012714"/>
      <w:bookmarkStart w:id="80" w:name="_Toc186552226"/>
      <w:r>
        <w:rPr>
          <w:rFonts w:hint="eastAsia"/>
        </w:rPr>
        <w:t>制作</w:t>
      </w:r>
      <w:bookmarkEnd w:id="79"/>
      <w:bookmarkEnd w:id="80"/>
    </w:p>
    <w:p w14:paraId="302162B7" w14:textId="77777777" w:rsidR="00AB0B6E" w:rsidRDefault="00000000">
      <w:pPr>
        <w:pStyle w:val="a6"/>
      </w:pPr>
      <w:bookmarkStart w:id="81" w:name="_Hlk131671455"/>
      <w:r>
        <w:rPr>
          <w:rFonts w:hint="eastAsia"/>
        </w:rPr>
        <w:t>预制桩的原材料应符合</w:t>
      </w:r>
      <w:bookmarkStart w:id="82" w:name="_Hlk167011919"/>
      <w:bookmarkStart w:id="83" w:name="_Hlk132363062"/>
      <w:r>
        <w:rPr>
          <w:rFonts w:hint="eastAsia"/>
        </w:rPr>
        <w:t>GB 13476</w:t>
      </w:r>
      <w:bookmarkEnd w:id="82"/>
      <w:r>
        <w:rPr>
          <w:rFonts w:hint="eastAsia"/>
        </w:rPr>
        <w:t>的有关规定。</w:t>
      </w:r>
    </w:p>
    <w:bookmarkEnd w:id="83"/>
    <w:p w14:paraId="0BD4C679" w14:textId="77777777" w:rsidR="00AB0B6E" w:rsidRDefault="00000000">
      <w:pPr>
        <w:pStyle w:val="a6"/>
      </w:pPr>
      <w:r>
        <w:rPr>
          <w:rFonts w:hint="eastAsia"/>
        </w:rPr>
        <w:t>预制桩</w:t>
      </w:r>
      <w:bookmarkStart w:id="84" w:name="_Hlk132363365"/>
      <w:r>
        <w:rPr>
          <w:rFonts w:hint="eastAsia"/>
        </w:rPr>
        <w:t>的制作除应符合GB 50204和JGJ 94的有关规定外，还应符合下列规定</w:t>
      </w:r>
      <w:bookmarkEnd w:id="84"/>
      <w:r>
        <w:rPr>
          <w:rFonts w:hint="eastAsia"/>
        </w:rPr>
        <w:t>：</w:t>
      </w:r>
    </w:p>
    <w:p w14:paraId="7CCEC813" w14:textId="77777777" w:rsidR="00AB0B6E" w:rsidRDefault="00000000">
      <w:pPr>
        <w:pStyle w:val="ac"/>
      </w:pPr>
      <w:bookmarkStart w:id="85" w:name="_Hlk132363186"/>
      <w:r>
        <w:rPr>
          <w:rFonts w:hint="eastAsia"/>
        </w:rPr>
        <w:t>模板采用钢模板，模板具有足够的刚度，并应平整，尺寸准确；</w:t>
      </w:r>
    </w:p>
    <w:p w14:paraId="23DE82FB" w14:textId="77777777" w:rsidR="00AB0B6E" w:rsidRDefault="00000000">
      <w:pPr>
        <w:pStyle w:val="ac"/>
      </w:pPr>
      <w:r>
        <w:rPr>
          <w:rFonts w:hint="eastAsia"/>
        </w:rPr>
        <w:t>钢筋</w:t>
      </w:r>
      <w:proofErr w:type="gramStart"/>
      <w:r>
        <w:rPr>
          <w:rFonts w:hint="eastAsia"/>
        </w:rPr>
        <w:t>笼</w:t>
      </w:r>
      <w:proofErr w:type="gramEnd"/>
      <w:r>
        <w:rPr>
          <w:rFonts w:hint="eastAsia"/>
        </w:rPr>
        <w:t>采用整体制作；</w:t>
      </w:r>
    </w:p>
    <w:p w14:paraId="2A539740" w14:textId="77777777" w:rsidR="00AB0B6E" w:rsidRDefault="00000000">
      <w:pPr>
        <w:pStyle w:val="ac"/>
      </w:pPr>
      <w:r>
        <w:rPr>
          <w:rFonts w:hint="eastAsia"/>
        </w:rPr>
        <w:t>桩主筋不与桩顶端板焊接；</w:t>
      </w:r>
    </w:p>
    <w:p w14:paraId="63DE3156" w14:textId="77777777" w:rsidR="00AB0B6E" w:rsidRDefault="00000000">
      <w:pPr>
        <w:pStyle w:val="ac"/>
      </w:pPr>
      <w:r>
        <w:rPr>
          <w:rFonts w:hint="eastAsia"/>
        </w:rPr>
        <w:lastRenderedPageBreak/>
        <w:t>预制桩接头采用定制加工构件，其设计、生产及防腐符合</w:t>
      </w:r>
      <w:bookmarkStart w:id="86" w:name="_Hlk167011933"/>
      <w:r>
        <w:rPr>
          <w:rFonts w:hint="eastAsia"/>
        </w:rPr>
        <w:t>GB</w:t>
      </w:r>
      <w:r>
        <w:t xml:space="preserve"> </w:t>
      </w:r>
      <w:r>
        <w:rPr>
          <w:rFonts w:hint="eastAsia"/>
        </w:rPr>
        <w:t>5</w:t>
      </w:r>
      <w:r>
        <w:t>5006</w:t>
      </w:r>
      <w:bookmarkEnd w:id="86"/>
      <w:r>
        <w:rPr>
          <w:rFonts w:hint="eastAsia"/>
        </w:rPr>
        <w:t>和</w:t>
      </w:r>
      <w:bookmarkStart w:id="87" w:name="_Hlk128735940"/>
      <w:r>
        <w:rPr>
          <w:rFonts w:hint="eastAsia"/>
        </w:rPr>
        <w:t>JGJ/T 395</w:t>
      </w:r>
      <w:bookmarkEnd w:id="87"/>
      <w:r>
        <w:rPr>
          <w:rFonts w:hint="eastAsia"/>
        </w:rPr>
        <w:t>等的规定；</w:t>
      </w:r>
    </w:p>
    <w:p w14:paraId="5E17AE32" w14:textId="77777777" w:rsidR="00AB0B6E" w:rsidRDefault="00000000">
      <w:pPr>
        <w:pStyle w:val="ac"/>
      </w:pPr>
      <w:r>
        <w:rPr>
          <w:rFonts w:hint="eastAsia"/>
        </w:rPr>
        <w:t>桩身混凝土一次性连续浇筑密实。</w:t>
      </w:r>
    </w:p>
    <w:p w14:paraId="4D829AF7" w14:textId="77777777" w:rsidR="00AB0B6E" w:rsidRDefault="00000000">
      <w:pPr>
        <w:pStyle w:val="a6"/>
      </w:pPr>
      <w:bookmarkStart w:id="88" w:name="_Hlk132363332"/>
      <w:bookmarkEnd w:id="85"/>
      <w:r>
        <w:rPr>
          <w:rFonts w:hint="eastAsia"/>
        </w:rPr>
        <w:t>预制桩采用工厂化预制。若在施工现场预制，预制场地应平整、密实。不采用拉模和翻模等快速脱模，以及三块</w:t>
      </w:r>
      <w:proofErr w:type="gramStart"/>
      <w:r>
        <w:rPr>
          <w:rFonts w:hint="eastAsia"/>
        </w:rPr>
        <w:t>侧模同时</w:t>
      </w:r>
      <w:proofErr w:type="gramEnd"/>
      <w:r>
        <w:rPr>
          <w:rFonts w:hint="eastAsia"/>
        </w:rPr>
        <w:t>浇筑两根桩的方法。</w:t>
      </w:r>
    </w:p>
    <w:p w14:paraId="267FD7AA" w14:textId="77777777" w:rsidR="00AB0B6E" w:rsidRDefault="00000000">
      <w:pPr>
        <w:pStyle w:val="affffffe"/>
        <w:outlineLvl w:val="1"/>
      </w:pPr>
      <w:bookmarkStart w:id="89" w:name="_Toc186552227"/>
      <w:bookmarkStart w:id="90" w:name="_Toc167012715"/>
      <w:bookmarkEnd w:id="81"/>
      <w:bookmarkEnd w:id="88"/>
      <w:r>
        <w:rPr>
          <w:rFonts w:hint="eastAsia"/>
        </w:rPr>
        <w:t>吊运和堆放</w:t>
      </w:r>
      <w:bookmarkEnd w:id="89"/>
      <w:bookmarkEnd w:id="90"/>
    </w:p>
    <w:p w14:paraId="118157BF" w14:textId="77777777" w:rsidR="00AB0B6E" w:rsidRDefault="00000000">
      <w:pPr>
        <w:pStyle w:val="a6"/>
      </w:pPr>
      <w:r>
        <w:rPr>
          <w:rFonts w:hint="eastAsia"/>
        </w:rPr>
        <w:t>预制桩的吊</w:t>
      </w:r>
      <w:proofErr w:type="gramStart"/>
      <w:r>
        <w:rPr>
          <w:rFonts w:hint="eastAsia"/>
        </w:rPr>
        <w:t>点按跨间</w:t>
      </w:r>
      <w:proofErr w:type="gramEnd"/>
      <w:r>
        <w:rPr>
          <w:rFonts w:hint="eastAsia"/>
        </w:rPr>
        <w:t>正弯矩与吊点处的负弯矩相等的原则进行布置。</w:t>
      </w:r>
    </w:p>
    <w:p w14:paraId="2A0FFCB3" w14:textId="77777777" w:rsidR="00AB0B6E" w:rsidRDefault="00000000">
      <w:pPr>
        <w:pStyle w:val="a6"/>
      </w:pPr>
      <w:r>
        <w:rPr>
          <w:rFonts w:hint="eastAsia"/>
        </w:rPr>
        <w:t>预制桩的吊运应符合下列规定：</w:t>
      </w:r>
    </w:p>
    <w:p w14:paraId="425E2F5A" w14:textId="77777777" w:rsidR="00AB0B6E" w:rsidRDefault="00000000">
      <w:pPr>
        <w:pStyle w:val="ac"/>
      </w:pPr>
      <w:r>
        <w:rPr>
          <w:rFonts w:hint="eastAsia"/>
        </w:rPr>
        <w:t>厂内桩身强度达到设计强度的7</w:t>
      </w:r>
      <w:r>
        <w:t>0</w:t>
      </w:r>
      <w:r>
        <w:rPr>
          <w:rFonts w:hint="eastAsia"/>
        </w:rPr>
        <w:t>%后起吊，达到100%</w:t>
      </w:r>
      <w:proofErr w:type="gramStart"/>
      <w:r>
        <w:rPr>
          <w:rFonts w:hint="eastAsia"/>
        </w:rPr>
        <w:t>后运输至施工</w:t>
      </w:r>
      <w:proofErr w:type="gramEnd"/>
      <w:r>
        <w:rPr>
          <w:rFonts w:hint="eastAsia"/>
        </w:rPr>
        <w:t>现场；</w:t>
      </w:r>
    </w:p>
    <w:p w14:paraId="324B5EBF" w14:textId="77777777" w:rsidR="00AB0B6E" w:rsidRDefault="00000000">
      <w:pPr>
        <w:pStyle w:val="ac"/>
      </w:pPr>
      <w:r>
        <w:rPr>
          <w:rFonts w:hint="eastAsia"/>
        </w:rPr>
        <w:t>起吊时采取相应措施，保证安全平稳，保护桩身质量。</w:t>
      </w:r>
    </w:p>
    <w:p w14:paraId="107E9111" w14:textId="77777777" w:rsidR="00AB0B6E" w:rsidRDefault="00000000">
      <w:pPr>
        <w:pStyle w:val="ac"/>
      </w:pPr>
      <w:r>
        <w:rPr>
          <w:rFonts w:hint="eastAsia"/>
        </w:rPr>
        <w:t>水平运输时，做到桩身平稳放置，不在场地上直接拖拉桩体；</w:t>
      </w:r>
    </w:p>
    <w:p w14:paraId="628FFE2F" w14:textId="77777777" w:rsidR="00AB0B6E" w:rsidRDefault="00000000">
      <w:pPr>
        <w:pStyle w:val="ac"/>
      </w:pPr>
      <w:r>
        <w:rPr>
          <w:rFonts w:hint="eastAsia"/>
        </w:rPr>
        <w:t>当采用工厂预制时，出厂前检查，其规格、批号、制作日期应符合所属的验收批号内容。</w:t>
      </w:r>
    </w:p>
    <w:p w14:paraId="49173614" w14:textId="77777777" w:rsidR="00AB0B6E" w:rsidRDefault="00000000">
      <w:pPr>
        <w:pStyle w:val="a6"/>
      </w:pPr>
      <w:r>
        <w:rPr>
          <w:rFonts w:hint="eastAsia"/>
        </w:rPr>
        <w:t>预制桩的堆放应符合下列规定：</w:t>
      </w:r>
    </w:p>
    <w:p w14:paraId="1A82716A" w14:textId="77777777" w:rsidR="00AB0B6E" w:rsidRDefault="00000000">
      <w:pPr>
        <w:pStyle w:val="ac"/>
      </w:pPr>
      <w:r>
        <w:rPr>
          <w:rFonts w:hint="eastAsia"/>
        </w:rPr>
        <w:t>预制桩堆放场地平整、坚实、稳固；</w:t>
      </w:r>
    </w:p>
    <w:p w14:paraId="1945A250" w14:textId="77777777" w:rsidR="00AB0B6E" w:rsidRDefault="00000000">
      <w:pPr>
        <w:pStyle w:val="ac"/>
      </w:pPr>
      <w:r>
        <w:rPr>
          <w:rFonts w:hint="eastAsia"/>
        </w:rPr>
        <w:t>预制桩按不同规格、长度、分节及施工流水顺序分别堆放，同桩号的</w:t>
      </w:r>
      <w:proofErr w:type="gramStart"/>
      <w:r>
        <w:rPr>
          <w:rFonts w:hint="eastAsia"/>
        </w:rPr>
        <w:t>桩集中</w:t>
      </w:r>
      <w:proofErr w:type="gramEnd"/>
      <w:r>
        <w:rPr>
          <w:rFonts w:hint="eastAsia"/>
        </w:rPr>
        <w:t>堆放，桩尖同向一端；</w:t>
      </w:r>
    </w:p>
    <w:p w14:paraId="1F709063" w14:textId="77777777" w:rsidR="00AB0B6E" w:rsidRDefault="00000000">
      <w:pPr>
        <w:pStyle w:val="ac"/>
      </w:pPr>
      <w:r>
        <w:rPr>
          <w:rFonts w:hint="eastAsia"/>
        </w:rPr>
        <w:t>预制桩单层堆放，若场地条件受限，可叠层堆放，但堆放层数不超过2层；</w:t>
      </w:r>
    </w:p>
    <w:p w14:paraId="3C5FD7B8" w14:textId="77777777" w:rsidR="00AB0B6E" w:rsidRDefault="00000000">
      <w:pPr>
        <w:pStyle w:val="ac"/>
      </w:pPr>
      <w:r>
        <w:rPr>
          <w:rFonts w:hint="eastAsia"/>
        </w:rPr>
        <w:t>预制桩下部</w:t>
      </w:r>
      <w:proofErr w:type="gramStart"/>
      <w:r>
        <w:rPr>
          <w:rFonts w:hint="eastAsia"/>
        </w:rPr>
        <w:t>的垫木分层</w:t>
      </w:r>
      <w:proofErr w:type="gramEnd"/>
      <w:r>
        <w:rPr>
          <w:rFonts w:hint="eastAsia"/>
        </w:rPr>
        <w:t>放置，</w:t>
      </w:r>
      <w:proofErr w:type="gramStart"/>
      <w:r>
        <w:rPr>
          <w:rFonts w:hint="eastAsia"/>
        </w:rPr>
        <w:t>垫木选用</w:t>
      </w:r>
      <w:proofErr w:type="gramEnd"/>
      <w:r>
        <w:rPr>
          <w:rFonts w:hint="eastAsia"/>
        </w:rPr>
        <w:t>耐压的长木</w:t>
      </w:r>
      <w:proofErr w:type="gramStart"/>
      <w:r>
        <w:rPr>
          <w:rFonts w:hint="eastAsia"/>
        </w:rPr>
        <w:t>枋</w:t>
      </w:r>
      <w:proofErr w:type="gramEnd"/>
      <w:r>
        <w:rPr>
          <w:rFonts w:hint="eastAsia"/>
        </w:rPr>
        <w:t>或枕木。</w:t>
      </w:r>
    </w:p>
    <w:p w14:paraId="43E378B2" w14:textId="77777777" w:rsidR="00AB0B6E" w:rsidRDefault="00000000">
      <w:pPr>
        <w:pStyle w:val="a4"/>
        <w:outlineLvl w:val="0"/>
      </w:pPr>
      <w:bookmarkStart w:id="91" w:name="_Toc167012716"/>
      <w:bookmarkStart w:id="92" w:name="_Toc186552228"/>
      <w:r>
        <w:rPr>
          <w:rFonts w:hint="eastAsia"/>
        </w:rPr>
        <w:t>施工</w:t>
      </w:r>
      <w:bookmarkEnd w:id="91"/>
      <w:bookmarkEnd w:id="92"/>
    </w:p>
    <w:p w14:paraId="089A301D" w14:textId="77777777" w:rsidR="00AB0B6E" w:rsidRDefault="00000000">
      <w:pPr>
        <w:pStyle w:val="affffffe"/>
        <w:adjustRightInd w:val="0"/>
        <w:snapToGrid w:val="0"/>
        <w:outlineLvl w:val="1"/>
      </w:pPr>
      <w:bookmarkStart w:id="93" w:name="_Toc186552229"/>
      <w:bookmarkStart w:id="94" w:name="_Toc167012717"/>
      <w:r>
        <w:rPr>
          <w:rFonts w:hint="eastAsia"/>
        </w:rPr>
        <w:t>施工流程</w:t>
      </w:r>
      <w:bookmarkEnd w:id="93"/>
      <w:bookmarkEnd w:id="94"/>
    </w:p>
    <w:p w14:paraId="1E348E25" w14:textId="77777777" w:rsidR="00AB0B6E" w:rsidRDefault="00000000">
      <w:pPr>
        <w:pStyle w:val="a6"/>
      </w:pPr>
      <w:r>
        <w:rPr>
          <w:rFonts w:hint="eastAsia"/>
        </w:rPr>
        <w:t>预制桩</w:t>
      </w:r>
      <w:proofErr w:type="gramStart"/>
      <w:r>
        <w:rPr>
          <w:rFonts w:hint="eastAsia"/>
        </w:rPr>
        <w:t>肋</w:t>
      </w:r>
      <w:proofErr w:type="gramEnd"/>
      <w:r>
        <w:rPr>
          <w:rFonts w:hint="eastAsia"/>
        </w:rPr>
        <w:t>叠合</w:t>
      </w:r>
      <w:proofErr w:type="gramStart"/>
      <w:r>
        <w:rPr>
          <w:rFonts w:hint="eastAsia"/>
        </w:rPr>
        <w:t>墙宜按照</w:t>
      </w:r>
      <w:proofErr w:type="gramEnd"/>
      <w:r>
        <w:rPr>
          <w:rFonts w:hint="eastAsia"/>
        </w:rPr>
        <w:t>预制桩成桩、基坑开挖、</w:t>
      </w:r>
      <w:proofErr w:type="gramStart"/>
      <w:r>
        <w:rPr>
          <w:rFonts w:hint="eastAsia"/>
        </w:rPr>
        <w:t>桩墙叠合</w:t>
      </w:r>
      <w:proofErr w:type="gramEnd"/>
      <w:r>
        <w:rPr>
          <w:rFonts w:hint="eastAsia"/>
        </w:rPr>
        <w:t>3个阶段进行施工。</w:t>
      </w:r>
    </w:p>
    <w:p w14:paraId="613DF177" w14:textId="77777777" w:rsidR="00AB0B6E" w:rsidRDefault="00000000">
      <w:pPr>
        <w:pStyle w:val="a6"/>
      </w:pPr>
      <w:r>
        <w:rPr>
          <w:rFonts w:hint="eastAsia"/>
        </w:rPr>
        <w:t>预制桩成桩</w:t>
      </w:r>
      <w:proofErr w:type="gramStart"/>
      <w:r>
        <w:rPr>
          <w:rFonts w:hint="eastAsia"/>
        </w:rPr>
        <w:t>宜按照</w:t>
      </w:r>
      <w:proofErr w:type="gramEnd"/>
      <w:r>
        <w:rPr>
          <w:rFonts w:hint="eastAsia"/>
        </w:rPr>
        <w:t>放线测量、导槽施工、钻进、压灌水泥土、接桩平台定位、吊桩、接桩、送桩、振动送桩的工序进行施工，基坑开挖和</w:t>
      </w:r>
      <w:proofErr w:type="gramStart"/>
      <w:r>
        <w:rPr>
          <w:rFonts w:hint="eastAsia"/>
        </w:rPr>
        <w:t>桩墙叠</w:t>
      </w:r>
      <w:proofErr w:type="gramEnd"/>
      <w:r>
        <w:rPr>
          <w:rFonts w:hint="eastAsia"/>
        </w:rPr>
        <w:t>合宜按照表层土开挖、</w:t>
      </w:r>
      <w:proofErr w:type="gramStart"/>
      <w:r>
        <w:rPr>
          <w:rFonts w:hint="eastAsia"/>
        </w:rPr>
        <w:t>冠梁施工</w:t>
      </w:r>
      <w:proofErr w:type="gramEnd"/>
      <w:r>
        <w:rPr>
          <w:rFonts w:hint="eastAsia"/>
        </w:rPr>
        <w:t>、土方开挖、</w:t>
      </w:r>
      <w:proofErr w:type="gramStart"/>
      <w:r>
        <w:rPr>
          <w:rFonts w:hint="eastAsia"/>
        </w:rPr>
        <w:t>桩间土</w:t>
      </w:r>
      <w:proofErr w:type="gramEnd"/>
      <w:r>
        <w:rPr>
          <w:rFonts w:hint="eastAsia"/>
        </w:rPr>
        <w:t>防护、桩侧凿毛清洗、</w:t>
      </w:r>
      <w:proofErr w:type="gramStart"/>
      <w:r>
        <w:rPr>
          <w:rFonts w:hint="eastAsia"/>
        </w:rPr>
        <w:t>抗剪钢筋</w:t>
      </w:r>
      <w:proofErr w:type="gramEnd"/>
      <w:r>
        <w:rPr>
          <w:rFonts w:hint="eastAsia"/>
        </w:rPr>
        <w:t>连接、侧墙钢筋绑扎、立模、浇筑混凝土的工序进行施工。</w:t>
      </w:r>
    </w:p>
    <w:p w14:paraId="20653BC6" w14:textId="77777777" w:rsidR="00AB0B6E" w:rsidRDefault="00000000">
      <w:pPr>
        <w:pStyle w:val="affffffe"/>
        <w:outlineLvl w:val="1"/>
      </w:pPr>
      <w:bookmarkStart w:id="95" w:name="_Toc186552230"/>
      <w:bookmarkStart w:id="96" w:name="_Toc167012718"/>
      <w:r>
        <w:rPr>
          <w:rFonts w:hint="eastAsia"/>
        </w:rPr>
        <w:t>预制桩成桩</w:t>
      </w:r>
      <w:bookmarkEnd w:id="95"/>
      <w:bookmarkEnd w:id="96"/>
    </w:p>
    <w:p w14:paraId="66B2D0BA" w14:textId="77777777" w:rsidR="00AB0B6E" w:rsidRDefault="00000000">
      <w:pPr>
        <w:pStyle w:val="a6"/>
      </w:pPr>
      <w:bookmarkStart w:id="97" w:name="_Toc128749198"/>
      <w:bookmarkStart w:id="98" w:name="_Toc132097021"/>
      <w:r>
        <w:rPr>
          <w:rFonts w:hint="eastAsia"/>
        </w:rPr>
        <w:t>成孔施工应符合以下规定：</w:t>
      </w:r>
    </w:p>
    <w:p w14:paraId="74FE5971" w14:textId="77777777" w:rsidR="00AB0B6E" w:rsidRDefault="00000000">
      <w:pPr>
        <w:pStyle w:val="ac"/>
      </w:pPr>
      <w:r>
        <w:rPr>
          <w:rFonts w:hint="eastAsia"/>
        </w:rPr>
        <w:t>对软弱地层的地基进行加固处理，满足钻机、接桩平台等设备施工的要求，地基承载力不小于</w:t>
      </w:r>
      <w:r>
        <w:t>80 kPa</w:t>
      </w:r>
      <w:r>
        <w:rPr>
          <w:rFonts w:hint="eastAsia"/>
        </w:rPr>
        <w:t>；</w:t>
      </w:r>
    </w:p>
    <w:p w14:paraId="5CBA3724" w14:textId="77777777" w:rsidR="00AB0B6E" w:rsidRDefault="00000000">
      <w:pPr>
        <w:pStyle w:val="ac"/>
      </w:pPr>
      <w:r>
        <w:rPr>
          <w:rFonts w:hint="eastAsia"/>
        </w:rPr>
        <w:t>成孔施工前，沿预制桩设计纵向轴线两侧设置导槽，导槽埋深不小于1</w:t>
      </w:r>
      <w:r>
        <w:t>m</w:t>
      </w:r>
      <w:r>
        <w:rPr>
          <w:rFonts w:hint="eastAsia"/>
        </w:rPr>
        <w:t>，导槽宽度不小于成孔直径，不大于接桩平台支腿</w:t>
      </w:r>
      <w:proofErr w:type="gramStart"/>
      <w:r>
        <w:rPr>
          <w:rFonts w:hint="eastAsia"/>
        </w:rPr>
        <w:t>内侧净</w:t>
      </w:r>
      <w:proofErr w:type="gramEnd"/>
      <w:r>
        <w:rPr>
          <w:rFonts w:hint="eastAsia"/>
        </w:rPr>
        <w:t>距；</w:t>
      </w:r>
    </w:p>
    <w:p w14:paraId="6EE239EA" w14:textId="77777777" w:rsidR="00AB0B6E" w:rsidRDefault="00000000">
      <w:pPr>
        <w:pStyle w:val="ac"/>
      </w:pPr>
      <w:r>
        <w:rPr>
          <w:rFonts w:hint="eastAsia"/>
        </w:rPr>
        <w:t>钻机就位后，对定位精度进行检查，合格后开始钻进；钻头中心与孔位中心的偏差不大于</w:t>
      </w:r>
      <w:r>
        <w:t>10 m</w:t>
      </w:r>
      <w:r>
        <w:rPr>
          <w:rFonts w:hint="eastAsia"/>
        </w:rPr>
        <w:t>m，钻机垂直度偏差不大于</w:t>
      </w:r>
      <w:r>
        <w:t>1</w:t>
      </w:r>
      <w:r>
        <w:rPr>
          <w:rFonts w:hint="eastAsia"/>
        </w:rPr>
        <w:t>/</w:t>
      </w:r>
      <w:r>
        <w:t>200</w:t>
      </w:r>
      <w:r>
        <w:rPr>
          <w:rFonts w:hint="eastAsia"/>
        </w:rPr>
        <w:t>；</w:t>
      </w:r>
    </w:p>
    <w:p w14:paraId="77D4BE0A" w14:textId="77777777" w:rsidR="00AB0B6E" w:rsidRDefault="00000000">
      <w:pPr>
        <w:pStyle w:val="ac"/>
      </w:pPr>
      <w:r>
        <w:rPr>
          <w:rFonts w:hint="eastAsia"/>
        </w:rPr>
        <w:t>当桩端为细粒土地层，钻进至设计桩底标高以上3</w:t>
      </w:r>
      <w:r>
        <w:t>0</w:t>
      </w:r>
      <w:r>
        <w:rPr>
          <w:rFonts w:hint="eastAsia"/>
        </w:rPr>
        <w:t xml:space="preserve"> </w:t>
      </w:r>
      <w:r>
        <w:t>cm</w:t>
      </w:r>
      <w:r>
        <w:rPr>
          <w:rFonts w:ascii="微软雅黑" w:eastAsia="微软雅黑" w:hAnsi="微软雅黑" w:cs="微软雅黑" w:hint="eastAsia"/>
        </w:rPr>
        <w:t>~</w:t>
      </w:r>
      <w:r>
        <w:t>50 cm</w:t>
      </w:r>
      <w:r>
        <w:rPr>
          <w:rFonts w:hint="eastAsia"/>
        </w:rPr>
        <w:t>的预定深度，然后采用振动锤将桩植入设计桩底标高，增强桩底竖向承载力。</w:t>
      </w:r>
    </w:p>
    <w:bookmarkEnd w:id="97"/>
    <w:bookmarkEnd w:id="98"/>
    <w:p w14:paraId="378B8589" w14:textId="77777777" w:rsidR="00AB0B6E" w:rsidRDefault="00000000">
      <w:pPr>
        <w:pStyle w:val="a6"/>
      </w:pPr>
      <w:r>
        <w:rPr>
          <w:rFonts w:hint="eastAsia"/>
        </w:rPr>
        <w:t>当桩位邻近的既有建筑物、地下管线、地下构筑物对地基变形敏感时，根据其位置、类型、材料特性、使用状况等，采取相应的控制地基变形的防护措施：</w:t>
      </w:r>
    </w:p>
    <w:p w14:paraId="7E8EB501" w14:textId="77777777" w:rsidR="00AB0B6E" w:rsidRDefault="00000000">
      <w:pPr>
        <w:pStyle w:val="ac"/>
      </w:pPr>
      <w:r>
        <w:rPr>
          <w:rFonts w:hint="eastAsia"/>
        </w:rPr>
        <w:t>采取间隔成桩的施工顺序，并且</w:t>
      </w:r>
      <w:proofErr w:type="gramStart"/>
      <w:r>
        <w:rPr>
          <w:rFonts w:hint="eastAsia"/>
        </w:rPr>
        <w:t>在桩周水</w:t>
      </w:r>
      <w:proofErr w:type="gramEnd"/>
      <w:r>
        <w:rPr>
          <w:rFonts w:hint="eastAsia"/>
        </w:rPr>
        <w:t>泥土终凝后，再进行相邻桩的成孔施工；</w:t>
      </w:r>
    </w:p>
    <w:p w14:paraId="43C2D835" w14:textId="77777777" w:rsidR="00AB0B6E" w:rsidRDefault="00000000">
      <w:pPr>
        <w:pStyle w:val="ac"/>
      </w:pPr>
      <w:r>
        <w:rPr>
          <w:rFonts w:hint="eastAsia"/>
        </w:rPr>
        <w:t>对松散或稍密的砂土、稍密的粉土、软土等易坍塌或流动的软弱土层，采取护筒等防护措施；</w:t>
      </w:r>
    </w:p>
    <w:p w14:paraId="24ED3203" w14:textId="77777777" w:rsidR="00AB0B6E" w:rsidRDefault="00000000">
      <w:pPr>
        <w:pStyle w:val="ac"/>
      </w:pPr>
      <w:r>
        <w:rPr>
          <w:rFonts w:hint="eastAsia"/>
        </w:rPr>
        <w:t>当成</w:t>
      </w:r>
      <w:proofErr w:type="gramStart"/>
      <w:r>
        <w:rPr>
          <w:rFonts w:hint="eastAsia"/>
        </w:rPr>
        <w:t>孔过程</w:t>
      </w:r>
      <w:proofErr w:type="gramEnd"/>
      <w:r>
        <w:rPr>
          <w:rFonts w:hint="eastAsia"/>
        </w:rPr>
        <w:t>中出现流砂、涌泥、塌孔、</w:t>
      </w:r>
      <w:proofErr w:type="gramStart"/>
      <w:r>
        <w:rPr>
          <w:rFonts w:hint="eastAsia"/>
        </w:rPr>
        <w:t>缩径等</w:t>
      </w:r>
      <w:proofErr w:type="gramEnd"/>
      <w:r>
        <w:rPr>
          <w:rFonts w:hint="eastAsia"/>
        </w:rPr>
        <w:t>异常情况时，暂停成孔并及时采取有针对性的措施进行处理，防止继续塌孔；</w:t>
      </w:r>
    </w:p>
    <w:p w14:paraId="3AA45EE1" w14:textId="77777777" w:rsidR="00AB0B6E" w:rsidRDefault="00000000">
      <w:pPr>
        <w:pStyle w:val="ac"/>
      </w:pPr>
      <w:r>
        <w:rPr>
          <w:rFonts w:hint="eastAsia"/>
        </w:rPr>
        <w:t>当成</w:t>
      </w:r>
      <w:proofErr w:type="gramStart"/>
      <w:r>
        <w:rPr>
          <w:rFonts w:hint="eastAsia"/>
        </w:rPr>
        <w:t>孔过程</w:t>
      </w:r>
      <w:proofErr w:type="gramEnd"/>
      <w:r>
        <w:rPr>
          <w:rFonts w:hint="eastAsia"/>
        </w:rPr>
        <w:t>中遇到不明障碍物时，查明其性质，且在不会危害既有建筑物、地下管线、地下构筑物的情况下继续施工。</w:t>
      </w:r>
    </w:p>
    <w:p w14:paraId="4ED8A3A5" w14:textId="77777777" w:rsidR="00AB0B6E" w:rsidRDefault="00000000">
      <w:pPr>
        <w:pStyle w:val="a6"/>
      </w:pPr>
      <w:r>
        <w:rPr>
          <w:rFonts w:hint="eastAsia"/>
        </w:rPr>
        <w:lastRenderedPageBreak/>
        <w:t>成孔施工应根据地质情况、设计桩长、桩径以及施工条件选择钻机类型（见表1），同时应兼顾施工工期、经济成本等影响因素。</w:t>
      </w:r>
      <w:bookmarkStart w:id="99" w:name="_Toc38820669"/>
    </w:p>
    <w:p w14:paraId="680ADCD6" w14:textId="77777777" w:rsidR="00AB0B6E" w:rsidRDefault="00000000">
      <w:pPr>
        <w:pStyle w:val="af7"/>
        <w:spacing w:before="156" w:after="156"/>
      </w:pPr>
      <w:r>
        <w:rPr>
          <w:rFonts w:hint="eastAsia"/>
        </w:rPr>
        <w:t>地层与钻机适用性</w:t>
      </w:r>
    </w:p>
    <w:tbl>
      <w:tblPr>
        <w:tblStyle w:val="afff7"/>
        <w:tblW w:w="9570" w:type="dxa"/>
        <w:tblLayout w:type="fixed"/>
        <w:tblLook w:val="04A0" w:firstRow="1" w:lastRow="0" w:firstColumn="1" w:lastColumn="0" w:noHBand="0" w:noVBand="1"/>
      </w:tblPr>
      <w:tblGrid>
        <w:gridCol w:w="4785"/>
        <w:gridCol w:w="4785"/>
      </w:tblGrid>
      <w:tr w:rsidR="00AB0B6E" w14:paraId="6A7EF25F" w14:textId="77777777">
        <w:tc>
          <w:tcPr>
            <w:tcW w:w="4785" w:type="dxa"/>
            <w:tcBorders>
              <w:top w:val="single" w:sz="8" w:space="0" w:color="auto"/>
              <w:left w:val="single" w:sz="8" w:space="0" w:color="auto"/>
              <w:bottom w:val="single" w:sz="8" w:space="0" w:color="auto"/>
            </w:tcBorders>
          </w:tcPr>
          <w:p w14:paraId="03C6ED2A" w14:textId="77777777" w:rsidR="00AB0B6E" w:rsidRDefault="00000000">
            <w:pPr>
              <w:pStyle w:val="afffe"/>
              <w:ind w:firstLineChars="0" w:firstLine="0"/>
              <w:jc w:val="center"/>
            </w:pPr>
            <w:r>
              <w:rPr>
                <w:rFonts w:hint="eastAsia"/>
              </w:rPr>
              <w:t>地层种类</w:t>
            </w:r>
          </w:p>
        </w:tc>
        <w:tc>
          <w:tcPr>
            <w:tcW w:w="4785" w:type="dxa"/>
            <w:tcBorders>
              <w:top w:val="single" w:sz="8" w:space="0" w:color="auto"/>
              <w:bottom w:val="single" w:sz="8" w:space="0" w:color="auto"/>
              <w:right w:val="single" w:sz="8" w:space="0" w:color="auto"/>
            </w:tcBorders>
          </w:tcPr>
          <w:p w14:paraId="01851B8F" w14:textId="77777777" w:rsidR="00AB0B6E" w:rsidRDefault="00000000">
            <w:pPr>
              <w:pStyle w:val="afffe"/>
              <w:ind w:firstLineChars="0" w:firstLine="0"/>
              <w:jc w:val="center"/>
            </w:pPr>
            <w:r>
              <w:rPr>
                <w:rFonts w:hint="eastAsia"/>
              </w:rPr>
              <w:t>适用钻机类型</w:t>
            </w:r>
          </w:p>
        </w:tc>
      </w:tr>
      <w:tr w:rsidR="00AB0B6E" w14:paraId="33CC0737" w14:textId="77777777">
        <w:tc>
          <w:tcPr>
            <w:tcW w:w="4785" w:type="dxa"/>
            <w:tcBorders>
              <w:top w:val="single" w:sz="8" w:space="0" w:color="auto"/>
              <w:left w:val="single" w:sz="8" w:space="0" w:color="auto"/>
            </w:tcBorders>
          </w:tcPr>
          <w:p w14:paraId="232513E9" w14:textId="77777777" w:rsidR="00AB0B6E" w:rsidRDefault="00000000">
            <w:pPr>
              <w:pStyle w:val="afffe"/>
              <w:ind w:firstLineChars="0" w:firstLine="0"/>
              <w:jc w:val="center"/>
            </w:pPr>
            <w:r>
              <w:rPr>
                <w:rFonts w:hint="eastAsia"/>
              </w:rPr>
              <w:t>黏性土、砂土等细粒土地层</w:t>
            </w:r>
          </w:p>
        </w:tc>
        <w:tc>
          <w:tcPr>
            <w:tcW w:w="4785" w:type="dxa"/>
            <w:tcBorders>
              <w:top w:val="single" w:sz="8" w:space="0" w:color="auto"/>
              <w:right w:val="single" w:sz="8" w:space="0" w:color="auto"/>
            </w:tcBorders>
          </w:tcPr>
          <w:p w14:paraId="60799813" w14:textId="77777777" w:rsidR="00AB0B6E" w:rsidRDefault="00000000">
            <w:pPr>
              <w:pStyle w:val="afffe"/>
              <w:ind w:firstLineChars="0" w:firstLine="0"/>
              <w:jc w:val="center"/>
            </w:pPr>
            <w:r>
              <w:rPr>
                <w:rFonts w:hint="eastAsia"/>
              </w:rPr>
              <w:t>长螺旋钻机、</w:t>
            </w:r>
            <w:proofErr w:type="gramStart"/>
            <w:r>
              <w:rPr>
                <w:rFonts w:hint="eastAsia"/>
              </w:rPr>
              <w:t>旋挖钻机</w:t>
            </w:r>
            <w:proofErr w:type="gramEnd"/>
            <w:r>
              <w:rPr>
                <w:rFonts w:hint="eastAsia"/>
              </w:rPr>
              <w:t>、全护筒钻机</w:t>
            </w:r>
          </w:p>
        </w:tc>
      </w:tr>
      <w:tr w:rsidR="00AB0B6E" w14:paraId="706E4E5C" w14:textId="77777777">
        <w:tc>
          <w:tcPr>
            <w:tcW w:w="4785" w:type="dxa"/>
            <w:tcBorders>
              <w:left w:val="single" w:sz="8" w:space="0" w:color="auto"/>
            </w:tcBorders>
          </w:tcPr>
          <w:p w14:paraId="353D9B8D" w14:textId="77777777" w:rsidR="00AB0B6E" w:rsidRDefault="00000000">
            <w:pPr>
              <w:pStyle w:val="afffe"/>
              <w:ind w:firstLineChars="0" w:firstLine="0"/>
              <w:jc w:val="center"/>
            </w:pPr>
            <w:r>
              <w:rPr>
                <w:rFonts w:hint="eastAsia"/>
              </w:rPr>
              <w:t>砾石、卵石、漂石</w:t>
            </w:r>
          </w:p>
        </w:tc>
        <w:tc>
          <w:tcPr>
            <w:tcW w:w="4785" w:type="dxa"/>
            <w:tcBorders>
              <w:right w:val="single" w:sz="8" w:space="0" w:color="auto"/>
            </w:tcBorders>
          </w:tcPr>
          <w:p w14:paraId="17855082" w14:textId="77777777" w:rsidR="00AB0B6E" w:rsidRDefault="00000000">
            <w:pPr>
              <w:pStyle w:val="afffe"/>
              <w:ind w:firstLineChars="0" w:firstLine="0"/>
              <w:jc w:val="center"/>
            </w:pPr>
            <w:proofErr w:type="gramStart"/>
            <w:r>
              <w:rPr>
                <w:rFonts w:hint="eastAsia"/>
              </w:rPr>
              <w:t>旋挖钻机</w:t>
            </w:r>
            <w:proofErr w:type="gramEnd"/>
          </w:p>
        </w:tc>
      </w:tr>
      <w:tr w:rsidR="00AB0B6E" w14:paraId="78FD6F5D" w14:textId="77777777">
        <w:tc>
          <w:tcPr>
            <w:tcW w:w="4785" w:type="dxa"/>
            <w:tcBorders>
              <w:left w:val="single" w:sz="8" w:space="0" w:color="auto"/>
              <w:bottom w:val="single" w:sz="8" w:space="0" w:color="auto"/>
            </w:tcBorders>
          </w:tcPr>
          <w:p w14:paraId="52C11608" w14:textId="77777777" w:rsidR="00AB0B6E" w:rsidRDefault="00000000">
            <w:pPr>
              <w:pStyle w:val="afffe"/>
              <w:ind w:firstLineChars="0" w:firstLine="0"/>
              <w:jc w:val="center"/>
            </w:pPr>
            <w:r>
              <w:rPr>
                <w:rFonts w:hint="eastAsia"/>
              </w:rPr>
              <w:t>岩层</w:t>
            </w:r>
          </w:p>
        </w:tc>
        <w:tc>
          <w:tcPr>
            <w:tcW w:w="4785" w:type="dxa"/>
            <w:tcBorders>
              <w:bottom w:val="single" w:sz="8" w:space="0" w:color="auto"/>
              <w:right w:val="single" w:sz="8" w:space="0" w:color="auto"/>
            </w:tcBorders>
          </w:tcPr>
          <w:p w14:paraId="54771F6D" w14:textId="77777777" w:rsidR="00AB0B6E" w:rsidRDefault="00000000">
            <w:pPr>
              <w:pStyle w:val="afffe"/>
              <w:ind w:firstLineChars="0" w:firstLine="0"/>
              <w:jc w:val="center"/>
            </w:pPr>
            <w:proofErr w:type="gramStart"/>
            <w:r>
              <w:rPr>
                <w:rFonts w:hint="eastAsia"/>
              </w:rPr>
              <w:t>旋挖钻机</w:t>
            </w:r>
            <w:proofErr w:type="gramEnd"/>
            <w:r>
              <w:rPr>
                <w:rFonts w:hint="eastAsia"/>
              </w:rPr>
              <w:t>、反循环潜孔锤</w:t>
            </w:r>
          </w:p>
        </w:tc>
      </w:tr>
    </w:tbl>
    <w:bookmarkEnd w:id="99"/>
    <w:p w14:paraId="2DA629AA" w14:textId="77777777" w:rsidR="00AB0B6E" w:rsidRDefault="00000000">
      <w:pPr>
        <w:pStyle w:val="a6"/>
      </w:pPr>
      <w:r>
        <w:rPr>
          <w:rFonts w:hint="eastAsia"/>
        </w:rPr>
        <w:t>水泥土制备应符合下列规定：</w:t>
      </w:r>
      <w:r>
        <w:t xml:space="preserve"> </w:t>
      </w:r>
    </w:p>
    <w:p w14:paraId="5A99215E" w14:textId="77777777" w:rsidR="00AB0B6E" w:rsidRDefault="00000000">
      <w:pPr>
        <w:pStyle w:val="ac"/>
      </w:pPr>
      <w:r>
        <w:rPr>
          <w:rFonts w:hint="eastAsia"/>
        </w:rPr>
        <w:t>当水泥土在施工现场制备时，制备材料就地取材；</w:t>
      </w:r>
    </w:p>
    <w:p w14:paraId="3FA1FF58" w14:textId="77777777" w:rsidR="00AB0B6E" w:rsidRDefault="00000000">
      <w:pPr>
        <w:pStyle w:val="ac"/>
      </w:pPr>
      <w:r>
        <w:rPr>
          <w:rFonts w:hint="eastAsia"/>
        </w:rPr>
        <w:t>水泥采用强度等级不高于3</w:t>
      </w:r>
      <w:r>
        <w:t>2.5的硅酸盐水泥、普通硅酸盐水泥、矿渣硅酸盐水泥、粉煤灰硅酸盐水泥，其主要性能指标应满足</w:t>
      </w:r>
      <w:bookmarkStart w:id="100" w:name="_Hlk167011966"/>
      <w:r>
        <w:t>GB 175</w:t>
      </w:r>
      <w:bookmarkEnd w:id="100"/>
      <w:r>
        <w:t>的有关规定：</w:t>
      </w:r>
    </w:p>
    <w:p w14:paraId="44CDB7E6" w14:textId="77777777" w:rsidR="00AB0B6E" w:rsidRDefault="00000000">
      <w:pPr>
        <w:pStyle w:val="ac"/>
      </w:pPr>
      <w:r>
        <w:rPr>
          <w:rFonts w:hint="eastAsia"/>
        </w:rPr>
        <w:t>外加剂的质量应符合</w:t>
      </w:r>
      <w:bookmarkStart w:id="101" w:name="_Hlk167011976"/>
      <w:r>
        <w:t>GB 8076</w:t>
      </w:r>
      <w:bookmarkEnd w:id="101"/>
      <w:r>
        <w:t>的规定</w:t>
      </w:r>
    </w:p>
    <w:p w14:paraId="2314BFBC" w14:textId="77777777" w:rsidR="00AB0B6E" w:rsidRDefault="00000000">
      <w:pPr>
        <w:pStyle w:val="ac"/>
      </w:pPr>
      <w:r>
        <w:rPr>
          <w:rFonts w:hint="eastAsia"/>
        </w:rPr>
        <w:t>当水泥土在搅拌站制备时，采用专用运输车运到现场；</w:t>
      </w:r>
    </w:p>
    <w:p w14:paraId="6E0C4638" w14:textId="77777777" w:rsidR="00AB0B6E" w:rsidRDefault="00000000">
      <w:pPr>
        <w:pStyle w:val="ac"/>
      </w:pPr>
      <w:r>
        <w:rPr>
          <w:rFonts w:hint="eastAsia"/>
        </w:rPr>
        <w:t>施工现场设置水泥土储存装置，容量不低于一根预制桩成桩所需水泥土最大用量的1.2倍；储存装置具有低速搅拌功能，转速不低于8</w:t>
      </w:r>
      <w:r>
        <w:rPr>
          <w:rFonts w:hint="eastAsia"/>
        </w:rPr>
        <w:t xml:space="preserve"> r</w:t>
      </w:r>
      <w:r>
        <w:rPr>
          <w:rFonts w:hint="eastAsia"/>
        </w:rPr>
        <w:t>/</w:t>
      </w:r>
      <w:r>
        <w:rPr>
          <w:rFonts w:hint="eastAsia"/>
        </w:rPr>
        <w:t>min</w:t>
      </w:r>
      <w:r>
        <w:rPr>
          <w:rFonts w:hint="eastAsia"/>
        </w:rPr>
        <w:t>，防止浆液凝固。</w:t>
      </w:r>
    </w:p>
    <w:p w14:paraId="67EEB1A7" w14:textId="77777777" w:rsidR="00AB0B6E" w:rsidRDefault="00000000">
      <w:pPr>
        <w:pStyle w:val="a6"/>
      </w:pPr>
      <w:r>
        <w:rPr>
          <w:rFonts w:hint="eastAsia"/>
        </w:rPr>
        <w:t>水泥土</w:t>
      </w:r>
      <w:proofErr w:type="gramStart"/>
      <w:r>
        <w:rPr>
          <w:rFonts w:hint="eastAsia"/>
        </w:rPr>
        <w:t>压灌施工</w:t>
      </w:r>
      <w:proofErr w:type="gramEnd"/>
      <w:r>
        <w:rPr>
          <w:rFonts w:hint="eastAsia"/>
        </w:rPr>
        <w:t>应符合下列规定：</w:t>
      </w:r>
    </w:p>
    <w:p w14:paraId="4B222F4E" w14:textId="77777777" w:rsidR="00AB0B6E" w:rsidRDefault="00000000">
      <w:pPr>
        <w:pStyle w:val="ac"/>
      </w:pPr>
      <w:r>
        <w:rPr>
          <w:rFonts w:hint="eastAsia"/>
        </w:rPr>
        <w:t>水泥土</w:t>
      </w:r>
      <w:proofErr w:type="gramStart"/>
      <w:r>
        <w:rPr>
          <w:rFonts w:hint="eastAsia"/>
        </w:rPr>
        <w:t>从孔底带</w:t>
      </w:r>
      <w:proofErr w:type="gramEnd"/>
      <w:r>
        <w:rPr>
          <w:rFonts w:hint="eastAsia"/>
        </w:rPr>
        <w:t>压灌注；</w:t>
      </w:r>
    </w:p>
    <w:p w14:paraId="797DA2CB" w14:textId="77777777" w:rsidR="00AB0B6E" w:rsidRDefault="00000000">
      <w:pPr>
        <w:pStyle w:val="ac"/>
      </w:pPr>
      <w:r>
        <w:rPr>
          <w:rFonts w:hint="eastAsia"/>
        </w:rPr>
        <w:t>成孔达到预定深度，进行水泥土灌注前，钻杆预提100mm；在提钻过程中同步灌注水泥土注浆，保持钻头位于水泥土灌注面以下</w:t>
      </w:r>
      <w:r>
        <w:t xml:space="preserve">2 </w:t>
      </w:r>
      <w:r>
        <w:rPr>
          <w:rFonts w:hint="eastAsia"/>
        </w:rPr>
        <w:t>m</w:t>
      </w:r>
      <w:r>
        <w:rPr>
          <w:rFonts w:ascii="微软雅黑" w:eastAsia="微软雅黑" w:hAnsi="微软雅黑" w:cs="微软雅黑" w:hint="eastAsia"/>
        </w:rPr>
        <w:t>~</w:t>
      </w:r>
      <w:r>
        <w:t xml:space="preserve">6 </w:t>
      </w:r>
      <w:r>
        <w:rPr>
          <w:rFonts w:hint="eastAsia"/>
        </w:rPr>
        <w:t>m；</w:t>
      </w:r>
    </w:p>
    <w:p w14:paraId="63DB2F51" w14:textId="77777777" w:rsidR="00AB0B6E" w:rsidRDefault="00000000">
      <w:pPr>
        <w:pStyle w:val="ac"/>
      </w:pPr>
      <w:r>
        <w:rPr>
          <w:rFonts w:hint="eastAsia"/>
        </w:rPr>
        <w:t>水泥土最终顶面标高应高于预制桩桩顶，且应高于现状地下水位线以上1</w:t>
      </w:r>
      <w:r>
        <w:t xml:space="preserve"> m</w:t>
      </w:r>
      <w:r>
        <w:rPr>
          <w:rFonts w:hint="eastAsia"/>
        </w:rPr>
        <w:t>。</w:t>
      </w:r>
    </w:p>
    <w:p w14:paraId="6AB33414" w14:textId="77777777" w:rsidR="00AB0B6E" w:rsidRDefault="00000000">
      <w:pPr>
        <w:pStyle w:val="a6"/>
      </w:pPr>
      <w:r>
        <w:rPr>
          <w:rFonts w:hint="eastAsia"/>
        </w:rPr>
        <w:t>预制桩吊装采用履带吊、汽车吊等设备，根据施工方案中场地布置、机械工作范围和行走路径综合考虑。</w:t>
      </w:r>
    </w:p>
    <w:p w14:paraId="77E1D48E" w14:textId="77777777" w:rsidR="00AB0B6E" w:rsidRDefault="00000000">
      <w:pPr>
        <w:pStyle w:val="a6"/>
      </w:pPr>
      <w:r>
        <w:rPr>
          <w:rFonts w:hint="eastAsia"/>
        </w:rPr>
        <w:t>吊装前，预制桩桩身朝向与设计基坑</w:t>
      </w:r>
      <w:proofErr w:type="gramStart"/>
      <w:r>
        <w:rPr>
          <w:rFonts w:hint="eastAsia"/>
        </w:rPr>
        <w:t>内外侧应一致</w:t>
      </w:r>
      <w:proofErr w:type="gramEnd"/>
      <w:r>
        <w:rPr>
          <w:rFonts w:hint="eastAsia"/>
        </w:rPr>
        <w:t>，接桩平台定位精度应符合表2的规定。</w:t>
      </w:r>
    </w:p>
    <w:p w14:paraId="2DA43E01" w14:textId="77777777" w:rsidR="00AB0B6E" w:rsidRDefault="00000000">
      <w:pPr>
        <w:pStyle w:val="af7"/>
        <w:spacing w:before="156" w:after="156"/>
      </w:pPr>
      <w:r>
        <w:rPr>
          <w:rFonts w:hint="eastAsia"/>
        </w:rPr>
        <w:t>接桩平台定位精度允许误差</w:t>
      </w:r>
    </w:p>
    <w:tbl>
      <w:tblPr>
        <w:tblW w:w="6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1920"/>
        <w:gridCol w:w="2930"/>
      </w:tblGrid>
      <w:tr w:rsidR="00AB0B6E" w14:paraId="0BE5F8EC" w14:textId="77777777">
        <w:trPr>
          <w:cantSplit/>
          <w:trHeight w:val="90"/>
          <w:jc w:val="center"/>
        </w:trPr>
        <w:tc>
          <w:tcPr>
            <w:tcW w:w="1656" w:type="dxa"/>
            <w:tcBorders>
              <w:top w:val="single" w:sz="8" w:space="0" w:color="auto"/>
              <w:left w:val="single" w:sz="8" w:space="0" w:color="auto"/>
              <w:bottom w:val="single" w:sz="8" w:space="0" w:color="auto"/>
              <w:right w:val="single" w:sz="4" w:space="0" w:color="auto"/>
            </w:tcBorders>
            <w:vAlign w:val="center"/>
          </w:tcPr>
          <w:p w14:paraId="10EB6DEE"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工序名称</w:t>
            </w:r>
          </w:p>
        </w:tc>
        <w:tc>
          <w:tcPr>
            <w:tcW w:w="1920" w:type="dxa"/>
            <w:tcBorders>
              <w:top w:val="single" w:sz="8" w:space="0" w:color="auto"/>
              <w:left w:val="single" w:sz="4" w:space="0" w:color="auto"/>
              <w:bottom w:val="single" w:sz="8" w:space="0" w:color="auto"/>
              <w:right w:val="single" w:sz="4" w:space="0" w:color="auto"/>
            </w:tcBorders>
            <w:vAlign w:val="center"/>
          </w:tcPr>
          <w:p w14:paraId="32E4F477"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检查项目</w:t>
            </w:r>
          </w:p>
        </w:tc>
        <w:tc>
          <w:tcPr>
            <w:tcW w:w="2930" w:type="dxa"/>
            <w:tcBorders>
              <w:top w:val="single" w:sz="8" w:space="0" w:color="auto"/>
              <w:left w:val="single" w:sz="4" w:space="0" w:color="auto"/>
              <w:bottom w:val="single" w:sz="8" w:space="0" w:color="auto"/>
              <w:right w:val="single" w:sz="8" w:space="0" w:color="auto"/>
            </w:tcBorders>
            <w:vAlign w:val="center"/>
          </w:tcPr>
          <w:p w14:paraId="14834B21"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允许误差</w:t>
            </w:r>
          </w:p>
        </w:tc>
      </w:tr>
      <w:tr w:rsidR="00AB0B6E" w14:paraId="59D56096" w14:textId="77777777">
        <w:trPr>
          <w:cantSplit/>
          <w:jc w:val="center"/>
        </w:trPr>
        <w:tc>
          <w:tcPr>
            <w:tcW w:w="1656" w:type="dxa"/>
            <w:vMerge w:val="restart"/>
            <w:tcBorders>
              <w:top w:val="single" w:sz="8" w:space="0" w:color="auto"/>
              <w:left w:val="single" w:sz="8" w:space="0" w:color="auto"/>
            </w:tcBorders>
            <w:vAlign w:val="center"/>
          </w:tcPr>
          <w:p w14:paraId="108B3799"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接桩平台定位精度</w:t>
            </w:r>
          </w:p>
        </w:tc>
        <w:tc>
          <w:tcPr>
            <w:tcW w:w="1920" w:type="dxa"/>
            <w:tcBorders>
              <w:top w:val="single" w:sz="8" w:space="0" w:color="auto"/>
            </w:tcBorders>
            <w:vAlign w:val="center"/>
          </w:tcPr>
          <w:p w14:paraId="47E0B575"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水平偏差</w:t>
            </w:r>
          </w:p>
        </w:tc>
        <w:tc>
          <w:tcPr>
            <w:tcW w:w="2930" w:type="dxa"/>
            <w:tcBorders>
              <w:top w:val="single" w:sz="8" w:space="0" w:color="auto"/>
              <w:right w:val="single" w:sz="8" w:space="0" w:color="auto"/>
            </w:tcBorders>
            <w:vAlign w:val="center"/>
          </w:tcPr>
          <w:p w14:paraId="129E3148" w14:textId="77777777" w:rsidR="00AB0B6E" w:rsidRDefault="00000000">
            <w:pPr>
              <w:jc w:val="center"/>
              <w:rPr>
                <w:rFonts w:ascii="宋体" w:eastAsia="宋体" w:hAnsi="宋体" w:cs="宋体" w:hint="eastAsia"/>
                <w:sz w:val="18"/>
                <w:szCs w:val="18"/>
              </w:rPr>
            </w:pPr>
            <w:r>
              <w:rPr>
                <w:rFonts w:ascii="宋体" w:eastAsia="宋体" w:hAnsi="宋体" w:cs="宋体"/>
                <w:sz w:val="18"/>
                <w:szCs w:val="18"/>
              </w:rPr>
              <w:t>1/300</w:t>
            </w:r>
          </w:p>
        </w:tc>
      </w:tr>
      <w:tr w:rsidR="00AB0B6E" w14:paraId="33D3EA13" w14:textId="77777777">
        <w:trPr>
          <w:cantSplit/>
          <w:jc w:val="center"/>
        </w:trPr>
        <w:tc>
          <w:tcPr>
            <w:tcW w:w="1656" w:type="dxa"/>
            <w:vMerge/>
            <w:tcBorders>
              <w:left w:val="single" w:sz="8" w:space="0" w:color="auto"/>
            </w:tcBorders>
            <w:vAlign w:val="center"/>
          </w:tcPr>
          <w:p w14:paraId="69E734A1" w14:textId="77777777" w:rsidR="00AB0B6E" w:rsidRDefault="00AB0B6E">
            <w:pPr>
              <w:jc w:val="center"/>
              <w:rPr>
                <w:rFonts w:ascii="宋体" w:eastAsia="宋体" w:hAnsi="宋体" w:cs="宋体" w:hint="eastAsia"/>
                <w:sz w:val="18"/>
                <w:szCs w:val="18"/>
              </w:rPr>
            </w:pPr>
          </w:p>
        </w:tc>
        <w:tc>
          <w:tcPr>
            <w:tcW w:w="1920" w:type="dxa"/>
            <w:vAlign w:val="center"/>
          </w:tcPr>
          <w:p w14:paraId="65DAF208"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顺基坑方向</w:t>
            </w:r>
          </w:p>
        </w:tc>
        <w:tc>
          <w:tcPr>
            <w:tcW w:w="2930" w:type="dxa"/>
            <w:tcBorders>
              <w:right w:val="single" w:sz="8" w:space="0" w:color="auto"/>
            </w:tcBorders>
            <w:vAlign w:val="center"/>
          </w:tcPr>
          <w:p w14:paraId="1B840C2D"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w:t>
            </w:r>
            <w:r>
              <w:rPr>
                <w:rFonts w:ascii="宋体" w:eastAsia="宋体" w:hAnsi="宋体" w:cs="宋体"/>
                <w:sz w:val="18"/>
                <w:szCs w:val="18"/>
              </w:rPr>
              <w:t>5</w:t>
            </w:r>
            <w:r>
              <w:rPr>
                <w:rFonts w:ascii="宋体" w:eastAsia="宋体" w:hAnsi="宋体" w:cs="宋体" w:hint="eastAsia"/>
                <w:sz w:val="18"/>
                <w:szCs w:val="18"/>
              </w:rPr>
              <w:t>0</w:t>
            </w:r>
            <w:r>
              <w:rPr>
                <w:rFonts w:ascii="宋体" w:eastAsia="宋体" w:hAnsi="宋体" w:cs="宋体"/>
                <w:sz w:val="18"/>
                <w:szCs w:val="18"/>
              </w:rPr>
              <w:t xml:space="preserve"> </w:t>
            </w:r>
            <w:r>
              <w:rPr>
                <w:rFonts w:ascii="宋体" w:eastAsia="宋体" w:hAnsi="宋体" w:cs="宋体" w:hint="eastAsia"/>
                <w:sz w:val="18"/>
                <w:szCs w:val="18"/>
              </w:rPr>
              <w:t>mm</w:t>
            </w:r>
          </w:p>
        </w:tc>
      </w:tr>
      <w:tr w:rsidR="00AB0B6E" w14:paraId="56CC6725" w14:textId="77777777">
        <w:trPr>
          <w:cantSplit/>
          <w:jc w:val="center"/>
        </w:trPr>
        <w:tc>
          <w:tcPr>
            <w:tcW w:w="1656" w:type="dxa"/>
            <w:vMerge/>
            <w:tcBorders>
              <w:left w:val="single" w:sz="8" w:space="0" w:color="auto"/>
              <w:bottom w:val="single" w:sz="8" w:space="0" w:color="auto"/>
            </w:tcBorders>
            <w:vAlign w:val="center"/>
          </w:tcPr>
          <w:p w14:paraId="63C79891" w14:textId="77777777" w:rsidR="00AB0B6E" w:rsidRDefault="00AB0B6E">
            <w:pPr>
              <w:jc w:val="center"/>
              <w:rPr>
                <w:rFonts w:ascii="宋体" w:eastAsia="宋体" w:hAnsi="宋体" w:cs="宋体" w:hint="eastAsia"/>
                <w:sz w:val="18"/>
                <w:szCs w:val="18"/>
              </w:rPr>
            </w:pPr>
          </w:p>
        </w:tc>
        <w:tc>
          <w:tcPr>
            <w:tcW w:w="1920" w:type="dxa"/>
            <w:tcBorders>
              <w:bottom w:val="single" w:sz="8" w:space="0" w:color="auto"/>
            </w:tcBorders>
            <w:vAlign w:val="center"/>
          </w:tcPr>
          <w:p w14:paraId="7B34DF52"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垂直基坑方向</w:t>
            </w:r>
          </w:p>
        </w:tc>
        <w:tc>
          <w:tcPr>
            <w:tcW w:w="2930" w:type="dxa"/>
            <w:tcBorders>
              <w:bottom w:val="single" w:sz="8" w:space="0" w:color="auto"/>
              <w:right w:val="single" w:sz="8" w:space="0" w:color="auto"/>
            </w:tcBorders>
            <w:vAlign w:val="center"/>
          </w:tcPr>
          <w:p w14:paraId="3668352A" w14:textId="77777777" w:rsidR="00AB0B6E" w:rsidRDefault="00000000">
            <w:pPr>
              <w:jc w:val="center"/>
              <w:rPr>
                <w:rFonts w:ascii="宋体" w:eastAsia="宋体" w:hAnsi="宋体" w:cs="宋体" w:hint="eastAsia"/>
                <w:sz w:val="18"/>
                <w:szCs w:val="18"/>
              </w:rPr>
            </w:pPr>
            <w:r>
              <w:rPr>
                <w:rFonts w:ascii="宋体" w:eastAsia="宋体" w:hAnsi="宋体" w:cs="宋体" w:hint="eastAsia"/>
                <w:sz w:val="18"/>
                <w:szCs w:val="18"/>
              </w:rPr>
              <w:t>±</w:t>
            </w:r>
            <w:r>
              <w:rPr>
                <w:rFonts w:ascii="宋体" w:eastAsia="宋体" w:hAnsi="宋体" w:cs="宋体"/>
                <w:sz w:val="18"/>
                <w:szCs w:val="18"/>
              </w:rPr>
              <w:t>3</w:t>
            </w:r>
            <w:r>
              <w:rPr>
                <w:rFonts w:ascii="宋体" w:eastAsia="宋体" w:hAnsi="宋体" w:cs="宋体" w:hint="eastAsia"/>
                <w:sz w:val="18"/>
                <w:szCs w:val="18"/>
              </w:rPr>
              <w:t>0</w:t>
            </w:r>
            <w:r>
              <w:rPr>
                <w:rFonts w:ascii="宋体" w:eastAsia="宋体" w:hAnsi="宋体" w:cs="宋体"/>
                <w:sz w:val="18"/>
                <w:szCs w:val="18"/>
              </w:rPr>
              <w:t xml:space="preserve"> </w:t>
            </w:r>
            <w:r>
              <w:rPr>
                <w:rFonts w:ascii="宋体" w:eastAsia="宋体" w:hAnsi="宋体" w:cs="宋体" w:hint="eastAsia"/>
                <w:sz w:val="18"/>
                <w:szCs w:val="18"/>
              </w:rPr>
              <w:t>mm</w:t>
            </w:r>
          </w:p>
        </w:tc>
      </w:tr>
    </w:tbl>
    <w:p w14:paraId="7A9DDCF1" w14:textId="77777777" w:rsidR="00AB0B6E" w:rsidRDefault="00000000">
      <w:pPr>
        <w:pStyle w:val="a6"/>
      </w:pPr>
      <w:r>
        <w:rPr>
          <w:rFonts w:hint="eastAsia"/>
        </w:rPr>
        <w:t>预制桩的分节连接宜采用承插式桩接头。</w:t>
      </w:r>
    </w:p>
    <w:p w14:paraId="1531F5FA" w14:textId="77777777" w:rsidR="00AB0B6E" w:rsidRDefault="00000000">
      <w:pPr>
        <w:pStyle w:val="a6"/>
      </w:pPr>
      <w:r>
        <w:rPr>
          <w:rFonts w:hint="eastAsia"/>
        </w:rPr>
        <w:t>采用承插式桩接头的接桩工艺应符合下列规定：</w:t>
      </w:r>
    </w:p>
    <w:p w14:paraId="38B62501" w14:textId="77777777" w:rsidR="00AB0B6E" w:rsidRDefault="00000000">
      <w:pPr>
        <w:pStyle w:val="afffe"/>
      </w:pPr>
      <w:r>
        <w:rPr>
          <w:rFonts w:hint="eastAsia"/>
        </w:rPr>
        <w:t>——接桩时，前一节桩桩顶高出接桩平台的高度不小于</w:t>
      </w:r>
      <w:r>
        <w:t xml:space="preserve">0.5 </w:t>
      </w:r>
      <w:r>
        <w:rPr>
          <w:rFonts w:hint="eastAsia"/>
        </w:rPr>
        <w:t>m</w:t>
      </w:r>
      <w:r>
        <w:t>；</w:t>
      </w:r>
    </w:p>
    <w:p w14:paraId="3EB65F25" w14:textId="77777777" w:rsidR="00AB0B6E" w:rsidRDefault="00000000">
      <w:pPr>
        <w:pStyle w:val="ac"/>
      </w:pPr>
      <w:r>
        <w:rPr>
          <w:rFonts w:hint="eastAsia"/>
        </w:rPr>
        <w:t>接桩前，应清理子母接头；接桩时上下</w:t>
      </w:r>
      <w:proofErr w:type="gramStart"/>
      <w:r>
        <w:rPr>
          <w:rFonts w:hint="eastAsia"/>
        </w:rPr>
        <w:t>节桩应保持</w:t>
      </w:r>
      <w:proofErr w:type="gramEnd"/>
      <w:r>
        <w:rPr>
          <w:rFonts w:hint="eastAsia"/>
        </w:rPr>
        <w:t>顺直，内外侧做标记，</w:t>
      </w:r>
      <w:r>
        <w:t>上下</w:t>
      </w:r>
      <w:r>
        <w:rPr>
          <w:rFonts w:hint="eastAsia"/>
        </w:rPr>
        <w:t>节</w:t>
      </w:r>
      <w:proofErr w:type="gramStart"/>
      <w:r>
        <w:t>桩中心</w:t>
      </w:r>
      <w:proofErr w:type="gramEnd"/>
      <w:r>
        <w:t>偏差</w:t>
      </w:r>
      <w:r>
        <w:rPr>
          <w:rFonts w:hint="eastAsia"/>
        </w:rPr>
        <w:t>小于</w:t>
      </w:r>
      <w:r>
        <w:t>2 mm</w:t>
      </w:r>
      <w:r>
        <w:rPr>
          <w:rFonts w:hint="eastAsia"/>
        </w:rPr>
        <w:t>；接桩就位纠偏时，不采用大锤横向敲打；</w:t>
      </w:r>
    </w:p>
    <w:p w14:paraId="756CE8BA" w14:textId="77777777" w:rsidR="00AB0B6E" w:rsidRDefault="00000000">
      <w:pPr>
        <w:pStyle w:val="ac"/>
      </w:pPr>
      <w:r>
        <w:rPr>
          <w:rFonts w:hint="eastAsia"/>
        </w:rPr>
        <w:t>子母接头对接后，将</w:t>
      </w:r>
      <w:proofErr w:type="gramStart"/>
      <w:r>
        <w:rPr>
          <w:rFonts w:hint="eastAsia"/>
        </w:rPr>
        <w:t>抗剪销栓</w:t>
      </w:r>
      <w:proofErr w:type="gramEnd"/>
      <w:r>
        <w:rPr>
          <w:rFonts w:hint="eastAsia"/>
        </w:rPr>
        <w:t>插入，再拧紧定位螺栓，螺栓预紧力达到设计要求，可使用扭矩扳手进行检验；</w:t>
      </w:r>
    </w:p>
    <w:p w14:paraId="6E29230D" w14:textId="77777777" w:rsidR="00AB0B6E" w:rsidRDefault="00000000">
      <w:pPr>
        <w:pStyle w:val="ac"/>
      </w:pPr>
      <w:r>
        <w:rPr>
          <w:rFonts w:hint="eastAsia"/>
        </w:rPr>
        <w:t>在桩接头外侧做防腐处理。</w:t>
      </w:r>
    </w:p>
    <w:p w14:paraId="3B3290C0" w14:textId="77777777" w:rsidR="00AB0B6E" w:rsidRDefault="00000000">
      <w:pPr>
        <w:pStyle w:val="a6"/>
      </w:pPr>
      <w:r>
        <w:rPr>
          <w:rFonts w:hint="eastAsia"/>
        </w:rPr>
        <w:t>送桩器应符合下列规定：</w:t>
      </w:r>
    </w:p>
    <w:p w14:paraId="1DE7E64D" w14:textId="77777777" w:rsidR="00AB0B6E" w:rsidRDefault="00000000">
      <w:pPr>
        <w:pStyle w:val="ac"/>
      </w:pPr>
      <w:r>
        <w:rPr>
          <w:rFonts w:hint="eastAsia"/>
        </w:rPr>
        <w:t>预制桩顶部端板内设置</w:t>
      </w:r>
      <w:proofErr w:type="gramStart"/>
      <w:r>
        <w:rPr>
          <w:rFonts w:hint="eastAsia"/>
        </w:rPr>
        <w:t>与桩顶连接器</w:t>
      </w:r>
      <w:proofErr w:type="gramEnd"/>
      <w:r>
        <w:rPr>
          <w:rFonts w:hint="eastAsia"/>
        </w:rPr>
        <w:t>的刚性连接措施；送桩器采用自动或半自动液压技术，具有机械化夹紧或</w:t>
      </w:r>
      <w:proofErr w:type="gramStart"/>
      <w:r>
        <w:rPr>
          <w:rFonts w:hint="eastAsia"/>
        </w:rPr>
        <w:t>松开桩顶连接器</w:t>
      </w:r>
      <w:proofErr w:type="gramEnd"/>
      <w:r>
        <w:rPr>
          <w:rFonts w:hint="eastAsia"/>
        </w:rPr>
        <w:t>的功能；夹紧承载力不低于预制桩整根重量的2倍；</w:t>
      </w:r>
    </w:p>
    <w:p w14:paraId="647AD590" w14:textId="77777777" w:rsidR="00AB0B6E" w:rsidRDefault="00000000">
      <w:pPr>
        <w:pStyle w:val="ac"/>
      </w:pPr>
      <w:r>
        <w:rPr>
          <w:rFonts w:hint="eastAsia"/>
        </w:rPr>
        <w:t>送桩器截面的形状与预制桩形状相同，尺寸不大于预制桩截面；</w:t>
      </w:r>
    </w:p>
    <w:p w14:paraId="575FDAFD" w14:textId="77777777" w:rsidR="00AB0B6E" w:rsidRDefault="00000000">
      <w:pPr>
        <w:pStyle w:val="ac"/>
      </w:pPr>
      <w:r>
        <w:rPr>
          <w:rFonts w:hint="eastAsia"/>
        </w:rPr>
        <w:lastRenderedPageBreak/>
        <w:t>送桩器有足够的强度、刚度和耐打性，弯曲度不大于1</w:t>
      </w:r>
      <w:r>
        <w:t>/1000</w:t>
      </w:r>
      <w:r>
        <w:rPr>
          <w:rFonts w:hint="eastAsia"/>
        </w:rPr>
        <w:t>；</w:t>
      </w:r>
    </w:p>
    <w:p w14:paraId="13610869" w14:textId="77777777" w:rsidR="00AB0B6E" w:rsidRDefault="00000000">
      <w:pPr>
        <w:pStyle w:val="ac"/>
      </w:pPr>
      <w:r>
        <w:rPr>
          <w:rFonts w:hint="eastAsia"/>
        </w:rPr>
        <w:t>送桩器长度满足送桩深度的要求，根据送桩深度、接桩平台高度和高出平台高度确定；将预制桩送至设计标高后，送桩器高出接桩平台的高度不小于</w:t>
      </w:r>
      <w:r>
        <w:t xml:space="preserve">0.5 </w:t>
      </w:r>
      <w:r>
        <w:rPr>
          <w:rFonts w:hint="eastAsia"/>
        </w:rPr>
        <w:t>m；</w:t>
      </w:r>
    </w:p>
    <w:p w14:paraId="0C8C5839" w14:textId="77777777" w:rsidR="00AB0B6E" w:rsidRDefault="00000000">
      <w:pPr>
        <w:pStyle w:val="ac"/>
      </w:pPr>
      <w:r>
        <w:rPr>
          <w:rFonts w:hint="eastAsia"/>
        </w:rPr>
        <w:t>送桩器下端面应平整，且与送桩器中心轴线相垂直。</w:t>
      </w:r>
    </w:p>
    <w:p w14:paraId="7F213F65" w14:textId="77777777" w:rsidR="00AB0B6E" w:rsidRDefault="00000000">
      <w:pPr>
        <w:pStyle w:val="a6"/>
      </w:pPr>
      <w:r>
        <w:rPr>
          <w:rFonts w:hint="eastAsia"/>
        </w:rPr>
        <w:t>送桩施工应符合下列规定：</w:t>
      </w:r>
    </w:p>
    <w:p w14:paraId="398A0AD7" w14:textId="77777777" w:rsidR="00AB0B6E" w:rsidRDefault="00000000">
      <w:pPr>
        <w:pStyle w:val="ac"/>
      </w:pPr>
      <w:r>
        <w:rPr>
          <w:rFonts w:hint="eastAsia"/>
        </w:rPr>
        <w:t>连接送桩器时，桩顶高出接桩平台的高度不小于</w:t>
      </w:r>
      <w:r>
        <w:t xml:space="preserve">0.5 </w:t>
      </w:r>
      <w:r>
        <w:rPr>
          <w:rFonts w:hint="eastAsia"/>
        </w:rPr>
        <w:t>m；</w:t>
      </w:r>
    </w:p>
    <w:p w14:paraId="7FCEAB66" w14:textId="77777777" w:rsidR="00AB0B6E" w:rsidRDefault="00000000">
      <w:pPr>
        <w:pStyle w:val="ac"/>
      </w:pPr>
      <w:r>
        <w:rPr>
          <w:rFonts w:hint="eastAsia"/>
        </w:rPr>
        <w:t>送桩器与桩顶端板之间空隙设置1层</w:t>
      </w:r>
      <w:r>
        <w:rPr>
          <w:rFonts w:ascii="微软雅黑" w:eastAsia="微软雅黑" w:hAnsi="微软雅黑" w:cs="微软雅黑" w:hint="eastAsia"/>
        </w:rPr>
        <w:t>~</w:t>
      </w:r>
      <w:r>
        <w:rPr>
          <w:rFonts w:hint="eastAsia"/>
        </w:rPr>
        <w:t>2层橡胶衬垫等减震措施；</w:t>
      </w:r>
    </w:p>
    <w:p w14:paraId="36926B54" w14:textId="77777777" w:rsidR="00AB0B6E" w:rsidRDefault="00000000">
      <w:pPr>
        <w:pStyle w:val="ac"/>
      </w:pPr>
      <w:r>
        <w:rPr>
          <w:rFonts w:hint="eastAsia"/>
        </w:rPr>
        <w:t>将预制桩送至成孔深度后，在送桩器顶部连接振动锤，使钢丝绳、振动锤和送桩器中心在一条直线上；</w:t>
      </w:r>
    </w:p>
    <w:p w14:paraId="2A2C5859" w14:textId="77777777" w:rsidR="00AB0B6E" w:rsidRDefault="00000000">
      <w:pPr>
        <w:pStyle w:val="ac"/>
      </w:pPr>
      <w:r>
        <w:rPr>
          <w:rFonts w:hint="eastAsia"/>
        </w:rPr>
        <w:t>振动送桩，将预制桩送至设计标高后卸下振动锤和送桩器；送桩器吊出后及时清理内部渗入的水泥土，避免因水泥土凝结影响送桩器重复使用；</w:t>
      </w:r>
    </w:p>
    <w:p w14:paraId="02461837" w14:textId="77777777" w:rsidR="00AB0B6E" w:rsidRDefault="00000000">
      <w:pPr>
        <w:pStyle w:val="affffffe"/>
        <w:outlineLvl w:val="1"/>
      </w:pPr>
      <w:bookmarkStart w:id="102" w:name="_Toc167012719"/>
      <w:bookmarkStart w:id="103" w:name="_Toc186552231"/>
      <w:r>
        <w:rPr>
          <w:rFonts w:hint="eastAsia"/>
        </w:rPr>
        <w:t>基坑开挖和叠合墙施工</w:t>
      </w:r>
      <w:bookmarkEnd w:id="102"/>
      <w:bookmarkEnd w:id="103"/>
    </w:p>
    <w:p w14:paraId="561BAD34" w14:textId="77777777" w:rsidR="00AB0B6E" w:rsidRDefault="00000000">
      <w:pPr>
        <w:pStyle w:val="a6"/>
      </w:pPr>
      <w:r>
        <w:rPr>
          <w:rFonts w:hint="eastAsia"/>
        </w:rPr>
        <w:t>基坑开挖应符合下列规定：</w:t>
      </w:r>
    </w:p>
    <w:p w14:paraId="7ED078B5" w14:textId="77777777" w:rsidR="00AB0B6E" w:rsidRDefault="00000000">
      <w:pPr>
        <w:pStyle w:val="ac"/>
      </w:pPr>
      <w:r>
        <w:rPr>
          <w:rFonts w:hint="eastAsia"/>
        </w:rPr>
        <w:t>开挖采用无水作业；</w:t>
      </w:r>
    </w:p>
    <w:p w14:paraId="1EB3C047" w14:textId="77777777" w:rsidR="00AB0B6E" w:rsidRDefault="00000000">
      <w:pPr>
        <w:pStyle w:val="ac"/>
      </w:pPr>
      <w:r>
        <w:rPr>
          <w:rFonts w:hint="eastAsia"/>
        </w:rPr>
        <w:t>基坑开挖按照分层、分段、分块、对称、平衡、限时的方法确定开挖顺序；</w:t>
      </w:r>
    </w:p>
    <w:p w14:paraId="70E41578" w14:textId="77777777" w:rsidR="00AB0B6E" w:rsidRDefault="00000000">
      <w:pPr>
        <w:pStyle w:val="ac"/>
      </w:pPr>
      <w:r>
        <w:rPr>
          <w:rFonts w:hint="eastAsia"/>
        </w:rPr>
        <w:t>预制桩</w:t>
      </w:r>
      <w:proofErr w:type="gramStart"/>
      <w:r>
        <w:rPr>
          <w:rFonts w:hint="eastAsia"/>
        </w:rPr>
        <w:t>桩间土</w:t>
      </w:r>
      <w:proofErr w:type="gramEnd"/>
      <w:r>
        <w:rPr>
          <w:rFonts w:hint="eastAsia"/>
        </w:rPr>
        <w:t>超挖不大于1</w:t>
      </w:r>
      <w:r>
        <w:t>00 mm</w:t>
      </w:r>
      <w:r>
        <w:rPr>
          <w:rFonts w:hint="eastAsia"/>
        </w:rPr>
        <w:t>，</w:t>
      </w:r>
      <w:proofErr w:type="gramStart"/>
      <w:r>
        <w:rPr>
          <w:rFonts w:hint="eastAsia"/>
        </w:rPr>
        <w:t>桩间土</w:t>
      </w:r>
      <w:proofErr w:type="gramEnd"/>
      <w:r>
        <w:rPr>
          <w:rFonts w:hint="eastAsia"/>
        </w:rPr>
        <w:t>表面采取挂网喷射混凝土等防护措施，满足叠合</w:t>
      </w:r>
      <w:proofErr w:type="gramStart"/>
      <w:r>
        <w:rPr>
          <w:rFonts w:hint="eastAsia"/>
        </w:rPr>
        <w:t>墙施工</w:t>
      </w:r>
      <w:proofErr w:type="gramEnd"/>
      <w:r>
        <w:rPr>
          <w:rFonts w:hint="eastAsia"/>
        </w:rPr>
        <w:t>要求；</w:t>
      </w:r>
    </w:p>
    <w:p w14:paraId="791886D7" w14:textId="77777777" w:rsidR="00AB0B6E" w:rsidRDefault="00000000">
      <w:pPr>
        <w:pStyle w:val="ac"/>
      </w:pPr>
      <w:r>
        <w:rPr>
          <w:rFonts w:hint="eastAsia"/>
        </w:rPr>
        <w:t>挖土时</w:t>
      </w:r>
      <w:proofErr w:type="gramStart"/>
      <w:r>
        <w:rPr>
          <w:rFonts w:hint="eastAsia"/>
        </w:rPr>
        <w:t>对桩顶连接器</w:t>
      </w:r>
      <w:proofErr w:type="gramEnd"/>
      <w:r>
        <w:rPr>
          <w:rFonts w:hint="eastAsia"/>
        </w:rPr>
        <w:t>进行保护，并及时回收。</w:t>
      </w:r>
    </w:p>
    <w:p w14:paraId="3CF9D5D3" w14:textId="77777777" w:rsidR="00AB0B6E" w:rsidRDefault="00000000">
      <w:pPr>
        <w:pStyle w:val="a6"/>
      </w:pPr>
      <w:r>
        <w:rPr>
          <w:rFonts w:hint="eastAsia"/>
        </w:rPr>
        <w:t>预制桩的凿毛、清洗处理，应符合下列规定：</w:t>
      </w:r>
    </w:p>
    <w:p w14:paraId="578CD2E6" w14:textId="77777777" w:rsidR="00AB0B6E" w:rsidRDefault="00000000">
      <w:pPr>
        <w:pStyle w:val="ac"/>
      </w:pPr>
      <w:r>
        <w:rPr>
          <w:rFonts w:hint="eastAsia"/>
        </w:rPr>
        <w:t>凿毛在工厂提前处理；</w:t>
      </w:r>
    </w:p>
    <w:p w14:paraId="508393D3" w14:textId="77777777" w:rsidR="00AB0B6E" w:rsidRDefault="00000000">
      <w:pPr>
        <w:pStyle w:val="ac"/>
      </w:pPr>
      <w:r>
        <w:rPr>
          <w:rFonts w:hint="eastAsia"/>
        </w:rPr>
        <w:t>凿</w:t>
      </w:r>
      <w:proofErr w:type="gramStart"/>
      <w:r>
        <w:rPr>
          <w:rFonts w:hint="eastAsia"/>
        </w:rPr>
        <w:t>毛做到</w:t>
      </w:r>
      <w:proofErr w:type="gramEnd"/>
      <w:r>
        <w:rPr>
          <w:rFonts w:hint="eastAsia"/>
        </w:rPr>
        <w:t>去掉乳皮，微露粗砂，表面粗糙，叠合面凹凸差不小于4</w:t>
      </w:r>
      <w:r>
        <w:t xml:space="preserve"> mm</w:t>
      </w:r>
      <w:r>
        <w:rPr>
          <w:rFonts w:hint="eastAsia"/>
        </w:rPr>
        <w:t>；</w:t>
      </w:r>
    </w:p>
    <w:p w14:paraId="62CAF06C" w14:textId="77777777" w:rsidR="00AB0B6E" w:rsidRDefault="00000000">
      <w:pPr>
        <w:pStyle w:val="ac"/>
      </w:pPr>
      <w:r>
        <w:rPr>
          <w:rFonts w:hint="eastAsia"/>
        </w:rPr>
        <w:t>清洗做到干净、湿润。</w:t>
      </w:r>
    </w:p>
    <w:p w14:paraId="1E765938" w14:textId="77777777" w:rsidR="00AB0B6E" w:rsidRDefault="00000000">
      <w:pPr>
        <w:pStyle w:val="a6"/>
      </w:pPr>
      <w:proofErr w:type="gramStart"/>
      <w:r>
        <w:rPr>
          <w:rFonts w:hint="eastAsia"/>
        </w:rPr>
        <w:t>抗剪钢筋</w:t>
      </w:r>
      <w:proofErr w:type="gramEnd"/>
      <w:r>
        <w:rPr>
          <w:rFonts w:hint="eastAsia"/>
        </w:rPr>
        <w:t>的连接，应符合下列规定：</w:t>
      </w:r>
    </w:p>
    <w:p w14:paraId="3D498818" w14:textId="77777777" w:rsidR="00AB0B6E" w:rsidRDefault="00000000">
      <w:pPr>
        <w:pStyle w:val="ac"/>
      </w:pPr>
      <w:r>
        <w:rPr>
          <w:rFonts w:hint="eastAsia"/>
        </w:rPr>
        <w:t>预制桩在工厂预制时，与主体结构侧墙连接的一侧预留接驳器；</w:t>
      </w:r>
    </w:p>
    <w:p w14:paraId="48F6D6E3" w14:textId="77777777" w:rsidR="00AB0B6E" w:rsidRDefault="00000000">
      <w:pPr>
        <w:pStyle w:val="ac"/>
      </w:pPr>
      <w:r>
        <w:rPr>
          <w:rFonts w:hint="eastAsia"/>
        </w:rPr>
        <w:t>成桩施工</w:t>
      </w:r>
      <w:proofErr w:type="gramStart"/>
      <w:r>
        <w:rPr>
          <w:rFonts w:hint="eastAsia"/>
        </w:rPr>
        <w:t>前采用</w:t>
      </w:r>
      <w:proofErr w:type="gramEnd"/>
      <w:r>
        <w:rPr>
          <w:rFonts w:hint="eastAsia"/>
        </w:rPr>
        <w:t>封堵帽等措施将接驳器口进行保护和封堵，防止水泥土或泥浆堵塞，后期无法使用；</w:t>
      </w:r>
    </w:p>
    <w:p w14:paraId="409E97F5" w14:textId="77777777" w:rsidR="00AB0B6E" w:rsidRDefault="00000000">
      <w:pPr>
        <w:pStyle w:val="ac"/>
      </w:pPr>
      <w:proofErr w:type="gramStart"/>
      <w:r>
        <w:rPr>
          <w:rFonts w:hint="eastAsia"/>
        </w:rPr>
        <w:t>抗剪钢筋</w:t>
      </w:r>
      <w:proofErr w:type="gramEnd"/>
      <w:r>
        <w:rPr>
          <w:rFonts w:hint="eastAsia"/>
        </w:rPr>
        <w:t>锚入侧墙一端时，</w:t>
      </w:r>
      <w:proofErr w:type="gramStart"/>
      <w:r>
        <w:rPr>
          <w:rFonts w:hint="eastAsia"/>
        </w:rPr>
        <w:t>抗剪钢筋</w:t>
      </w:r>
      <w:proofErr w:type="gramEnd"/>
      <w:r>
        <w:rPr>
          <w:rFonts w:hint="eastAsia"/>
        </w:rPr>
        <w:t>的锚固长度满足构造要求，采取弯钩或U型筋方式。</w:t>
      </w:r>
    </w:p>
    <w:p w14:paraId="1F387583" w14:textId="77777777" w:rsidR="00AB0B6E" w:rsidRDefault="00000000">
      <w:pPr>
        <w:pStyle w:val="a6"/>
      </w:pPr>
      <w:r>
        <w:rPr>
          <w:rFonts w:hint="eastAsia"/>
        </w:rPr>
        <w:t>叠合面防水措施不少于两种，第一种措施宜在叠合面涂刷水泥基渗透结晶型防水涂料，第二种宜采用预制桩两侧贴遇水膨胀止水胶条、</w:t>
      </w:r>
      <w:proofErr w:type="gramStart"/>
      <w:r>
        <w:rPr>
          <w:rFonts w:hint="eastAsia"/>
        </w:rPr>
        <w:t>抗剪钢筋</w:t>
      </w:r>
      <w:proofErr w:type="gramEnd"/>
      <w:r>
        <w:rPr>
          <w:rFonts w:hint="eastAsia"/>
        </w:rPr>
        <w:t>端头安装遇水膨胀止水环等措施。</w:t>
      </w:r>
    </w:p>
    <w:p w14:paraId="5400DE75" w14:textId="77777777" w:rsidR="00AB0B6E" w:rsidRDefault="00000000">
      <w:pPr>
        <w:pStyle w:val="a6"/>
      </w:pPr>
      <w:bookmarkStart w:id="104" w:name="_Hlk167035600"/>
      <w:r>
        <w:rPr>
          <w:rFonts w:hint="eastAsia"/>
        </w:rPr>
        <w:t>立模和浇筑混凝土应符合下列规定：</w:t>
      </w:r>
    </w:p>
    <w:p w14:paraId="40630D5D" w14:textId="77777777" w:rsidR="00AB0B6E" w:rsidRDefault="00000000">
      <w:pPr>
        <w:pStyle w:val="ac"/>
      </w:pPr>
      <w:r>
        <w:rPr>
          <w:rFonts w:hint="eastAsia"/>
        </w:rPr>
        <w:t>防水混凝土的施工配合比通过试验确定，试配混凝土的抗渗等级比设计要求提高0.2MPa；</w:t>
      </w:r>
    </w:p>
    <w:p w14:paraId="330480FA" w14:textId="77777777" w:rsidR="00AB0B6E" w:rsidRDefault="00000000">
      <w:pPr>
        <w:pStyle w:val="ac"/>
      </w:pPr>
      <w:r>
        <w:rPr>
          <w:rFonts w:hint="eastAsia"/>
        </w:rPr>
        <w:t>坍落度控制在</w:t>
      </w:r>
      <w:r>
        <w:t>120</w:t>
      </w:r>
      <w:r>
        <w:t xml:space="preserve"> mm</w:t>
      </w:r>
      <w:r>
        <w:t>±</w:t>
      </w:r>
      <w:r>
        <w:t>20 mm</w:t>
      </w:r>
      <w:r>
        <w:rPr>
          <w:rFonts w:hint="eastAsia"/>
        </w:rPr>
        <w:t>，坍落度每小时损失不大于2</w:t>
      </w:r>
      <w:r>
        <w:t>0 mm</w:t>
      </w:r>
      <w:r>
        <w:rPr>
          <w:rFonts w:hint="eastAsia"/>
        </w:rPr>
        <w:t>，坍落度总损失值不大于4</w:t>
      </w:r>
      <w:r>
        <w:t>0 mm</w:t>
      </w:r>
      <w:r>
        <w:rPr>
          <w:rFonts w:hint="eastAsia"/>
        </w:rPr>
        <w:t>；</w:t>
      </w:r>
      <w:r>
        <w:t xml:space="preserve"> </w:t>
      </w:r>
    </w:p>
    <w:p w14:paraId="4ED4C8A4" w14:textId="77777777" w:rsidR="00AB0B6E" w:rsidRDefault="00000000">
      <w:pPr>
        <w:pStyle w:val="ac"/>
      </w:pPr>
      <w:r>
        <w:rPr>
          <w:rFonts w:hint="eastAsia"/>
        </w:rPr>
        <w:t>模板工程编制专项施工方案；</w:t>
      </w:r>
    </w:p>
    <w:p w14:paraId="542222E7" w14:textId="77777777" w:rsidR="00AB0B6E" w:rsidRDefault="00000000">
      <w:pPr>
        <w:pStyle w:val="ac"/>
      </w:pPr>
      <w:r>
        <w:rPr>
          <w:rFonts w:hint="eastAsia"/>
        </w:rPr>
        <w:t>模板及支架根据安装、使用和拆除工况进行设计，并满足承载力、刚度和整体稳固性要求；模板及支架拆除的顺序及安全措施符合GB 50666的有关规定和施工方案的要求；</w:t>
      </w:r>
    </w:p>
    <w:p w14:paraId="3CA1E444" w14:textId="77777777" w:rsidR="00AB0B6E" w:rsidRDefault="00000000">
      <w:pPr>
        <w:pStyle w:val="ac"/>
      </w:pPr>
      <w:r>
        <w:rPr>
          <w:rFonts w:hint="eastAsia"/>
        </w:rPr>
        <w:t>冬期、高温和雨</w:t>
      </w:r>
      <w:proofErr w:type="gramStart"/>
      <w:r>
        <w:rPr>
          <w:rFonts w:hint="eastAsia"/>
        </w:rPr>
        <w:t>期施工</w:t>
      </w:r>
      <w:proofErr w:type="gramEnd"/>
      <w:r>
        <w:rPr>
          <w:rFonts w:hint="eastAsia"/>
        </w:rPr>
        <w:t>符合</w:t>
      </w:r>
      <w:bookmarkStart w:id="105" w:name="_Hlk167012014"/>
      <w:r>
        <w:rPr>
          <w:rFonts w:hint="eastAsia"/>
        </w:rPr>
        <w:t>GB 50666</w:t>
      </w:r>
      <w:bookmarkEnd w:id="105"/>
      <w:r>
        <w:rPr>
          <w:rFonts w:hint="eastAsia"/>
        </w:rPr>
        <w:t>的有关规定。</w:t>
      </w:r>
    </w:p>
    <w:p w14:paraId="29BED135" w14:textId="77777777" w:rsidR="00AB0B6E" w:rsidRDefault="00000000">
      <w:pPr>
        <w:pStyle w:val="a4"/>
        <w:outlineLvl w:val="0"/>
      </w:pPr>
      <w:bookmarkStart w:id="106" w:name="_Toc167012720"/>
      <w:bookmarkStart w:id="107" w:name="_Toc186552232"/>
      <w:bookmarkEnd w:id="104"/>
      <w:r>
        <w:rPr>
          <w:rFonts w:hint="eastAsia"/>
        </w:rPr>
        <w:t>质量验收</w:t>
      </w:r>
      <w:bookmarkEnd w:id="106"/>
      <w:bookmarkEnd w:id="107"/>
    </w:p>
    <w:p w14:paraId="186CA331" w14:textId="77777777" w:rsidR="00AB0B6E" w:rsidRDefault="00000000">
      <w:pPr>
        <w:pStyle w:val="affffffe"/>
        <w:outlineLvl w:val="1"/>
      </w:pPr>
      <w:bookmarkStart w:id="108" w:name="_Toc167012721"/>
      <w:bookmarkStart w:id="109" w:name="_Toc186552233"/>
      <w:r>
        <w:rPr>
          <w:rFonts w:hint="eastAsia"/>
        </w:rPr>
        <w:t>预制桩制作验收</w:t>
      </w:r>
      <w:bookmarkEnd w:id="108"/>
      <w:bookmarkEnd w:id="109"/>
    </w:p>
    <w:p w14:paraId="1ABD467A" w14:textId="77777777" w:rsidR="00AB0B6E" w:rsidRDefault="00000000">
      <w:pPr>
        <w:pStyle w:val="a6"/>
      </w:pPr>
      <w:r>
        <w:rPr>
          <w:rFonts w:hint="eastAsia"/>
        </w:rPr>
        <w:t>主控项目包含预制桩的质量、外观质量和预埋件，应全数检查，采用观察、尺量检查方法，还应符合下列规定：</w:t>
      </w:r>
    </w:p>
    <w:p w14:paraId="6A456838" w14:textId="77777777" w:rsidR="00AB0B6E" w:rsidRDefault="00000000">
      <w:pPr>
        <w:pStyle w:val="ac"/>
      </w:pPr>
      <w:r>
        <w:rPr>
          <w:rFonts w:hint="eastAsia"/>
        </w:rPr>
        <w:t>施工单位和监理单位代表驻厂监督预制桩的制作过程；</w:t>
      </w:r>
    </w:p>
    <w:p w14:paraId="03BC2B80" w14:textId="77777777" w:rsidR="00AB0B6E" w:rsidRDefault="00000000">
      <w:pPr>
        <w:pStyle w:val="ac"/>
      </w:pPr>
      <w:r>
        <w:rPr>
          <w:rFonts w:hint="eastAsia"/>
        </w:rPr>
        <w:lastRenderedPageBreak/>
        <w:t>预制桩的钢筋骨架允许偏差符合表3的规定；</w:t>
      </w:r>
    </w:p>
    <w:p w14:paraId="64DD8A57" w14:textId="77777777" w:rsidR="00AB0B6E" w:rsidRDefault="00000000">
      <w:pPr>
        <w:pStyle w:val="ac"/>
      </w:pPr>
      <w:r>
        <w:rPr>
          <w:rFonts w:hint="eastAsia"/>
        </w:rPr>
        <w:t>预制桩的外观质量不应有严重缺陷，</w:t>
      </w:r>
      <w:proofErr w:type="gramStart"/>
      <w:r>
        <w:rPr>
          <w:rFonts w:hint="eastAsia"/>
        </w:rPr>
        <w:t>桩顶和</w:t>
      </w:r>
      <w:proofErr w:type="gramEnd"/>
      <w:r>
        <w:rPr>
          <w:rFonts w:hint="eastAsia"/>
        </w:rPr>
        <w:t>桩尖处无蜂窝、麻面、裂缝或掉角，并符合表4的要求；</w:t>
      </w:r>
    </w:p>
    <w:p w14:paraId="22111854" w14:textId="77777777" w:rsidR="00AB0B6E" w:rsidRDefault="00000000">
      <w:pPr>
        <w:pStyle w:val="ac"/>
      </w:pPr>
      <w:r>
        <w:rPr>
          <w:rFonts w:hint="eastAsia"/>
        </w:rPr>
        <w:t>预制桩上的预埋件的材料质量、规格和数量符合设计要求。</w:t>
      </w:r>
    </w:p>
    <w:p w14:paraId="04DF1780" w14:textId="77777777" w:rsidR="00AB0B6E" w:rsidRDefault="00000000">
      <w:pPr>
        <w:pStyle w:val="af7"/>
        <w:spacing w:before="156" w:after="156"/>
      </w:pPr>
      <w:r>
        <w:rPr>
          <w:rFonts w:hint="eastAsia"/>
        </w:rPr>
        <w:t>预制桩钢筋骨架的允许偏差</w:t>
      </w:r>
    </w:p>
    <w:tbl>
      <w:tblPr>
        <w:tblW w:w="95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18"/>
        <w:gridCol w:w="5849"/>
        <w:gridCol w:w="2303"/>
      </w:tblGrid>
      <w:tr w:rsidR="00AB0B6E" w14:paraId="514393F7" w14:textId="77777777">
        <w:trPr>
          <w:jc w:val="center"/>
        </w:trPr>
        <w:tc>
          <w:tcPr>
            <w:tcW w:w="1418" w:type="dxa"/>
            <w:tcBorders>
              <w:top w:val="single" w:sz="8" w:space="0" w:color="auto"/>
              <w:bottom w:val="single" w:sz="8" w:space="0" w:color="auto"/>
            </w:tcBorders>
            <w:vAlign w:val="center"/>
          </w:tcPr>
          <w:p w14:paraId="7D9539D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序号</w:t>
            </w:r>
          </w:p>
        </w:tc>
        <w:tc>
          <w:tcPr>
            <w:tcW w:w="5849" w:type="dxa"/>
            <w:tcBorders>
              <w:top w:val="single" w:sz="8" w:space="0" w:color="auto"/>
              <w:bottom w:val="single" w:sz="8" w:space="0" w:color="auto"/>
            </w:tcBorders>
            <w:vAlign w:val="center"/>
          </w:tcPr>
          <w:p w14:paraId="60D859EC"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项目</w:t>
            </w:r>
          </w:p>
        </w:tc>
        <w:tc>
          <w:tcPr>
            <w:tcW w:w="2303" w:type="dxa"/>
            <w:tcBorders>
              <w:top w:val="single" w:sz="8" w:space="0" w:color="auto"/>
              <w:bottom w:val="single" w:sz="8" w:space="0" w:color="auto"/>
            </w:tcBorders>
            <w:vAlign w:val="center"/>
          </w:tcPr>
          <w:p w14:paraId="66FE9FC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允许偏差（m</w:t>
            </w:r>
            <w:r>
              <w:rPr>
                <w:rFonts w:ascii="宋体" w:eastAsia="宋体" w:hAnsi="宋体" w:cs="宋体"/>
                <w:sz w:val="18"/>
                <w:szCs w:val="21"/>
              </w:rPr>
              <w:t>m</w:t>
            </w:r>
            <w:r>
              <w:rPr>
                <w:rFonts w:ascii="宋体" w:eastAsia="宋体" w:hAnsi="宋体" w:cs="宋体" w:hint="eastAsia"/>
                <w:sz w:val="18"/>
                <w:szCs w:val="21"/>
              </w:rPr>
              <w:t>）</w:t>
            </w:r>
          </w:p>
        </w:tc>
      </w:tr>
      <w:tr w:rsidR="00AB0B6E" w14:paraId="6B6CF524" w14:textId="77777777">
        <w:trPr>
          <w:jc w:val="center"/>
        </w:trPr>
        <w:tc>
          <w:tcPr>
            <w:tcW w:w="1418" w:type="dxa"/>
            <w:tcBorders>
              <w:top w:val="single" w:sz="8" w:space="0" w:color="auto"/>
              <w:left w:val="single" w:sz="8" w:space="0" w:color="auto"/>
              <w:bottom w:val="single" w:sz="4" w:space="0" w:color="auto"/>
            </w:tcBorders>
            <w:vAlign w:val="center"/>
          </w:tcPr>
          <w:p w14:paraId="2890574E"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w:t>
            </w:r>
          </w:p>
        </w:tc>
        <w:tc>
          <w:tcPr>
            <w:tcW w:w="5849" w:type="dxa"/>
            <w:tcBorders>
              <w:top w:val="single" w:sz="8" w:space="0" w:color="auto"/>
              <w:bottom w:val="single" w:sz="4" w:space="0" w:color="auto"/>
            </w:tcBorders>
            <w:vAlign w:val="center"/>
          </w:tcPr>
          <w:p w14:paraId="4472066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主筋间距</w:t>
            </w:r>
          </w:p>
        </w:tc>
        <w:tc>
          <w:tcPr>
            <w:tcW w:w="2303" w:type="dxa"/>
            <w:tcBorders>
              <w:top w:val="single" w:sz="8" w:space="0" w:color="auto"/>
              <w:bottom w:val="single" w:sz="4" w:space="0" w:color="auto"/>
              <w:right w:val="single" w:sz="8" w:space="0" w:color="auto"/>
            </w:tcBorders>
            <w:vAlign w:val="center"/>
          </w:tcPr>
          <w:p w14:paraId="656B962C"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±5</w:t>
            </w:r>
          </w:p>
        </w:tc>
      </w:tr>
      <w:tr w:rsidR="00AB0B6E" w14:paraId="1984240D" w14:textId="77777777">
        <w:trPr>
          <w:jc w:val="center"/>
        </w:trPr>
        <w:tc>
          <w:tcPr>
            <w:tcW w:w="1418" w:type="dxa"/>
            <w:tcBorders>
              <w:top w:val="single" w:sz="4" w:space="0" w:color="auto"/>
              <w:left w:val="single" w:sz="8" w:space="0" w:color="auto"/>
              <w:bottom w:val="single" w:sz="4" w:space="0" w:color="auto"/>
            </w:tcBorders>
            <w:vAlign w:val="center"/>
          </w:tcPr>
          <w:p w14:paraId="4E055A24"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w:t>
            </w:r>
          </w:p>
        </w:tc>
        <w:tc>
          <w:tcPr>
            <w:tcW w:w="5849" w:type="dxa"/>
            <w:tcBorders>
              <w:top w:val="single" w:sz="4" w:space="0" w:color="auto"/>
              <w:bottom w:val="single" w:sz="4" w:space="0" w:color="auto"/>
            </w:tcBorders>
            <w:vAlign w:val="center"/>
          </w:tcPr>
          <w:p w14:paraId="3E5FFEDB"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桩尖中心线</w:t>
            </w:r>
          </w:p>
        </w:tc>
        <w:tc>
          <w:tcPr>
            <w:tcW w:w="2303" w:type="dxa"/>
            <w:tcBorders>
              <w:top w:val="single" w:sz="4" w:space="0" w:color="auto"/>
              <w:bottom w:val="single" w:sz="4" w:space="0" w:color="auto"/>
              <w:right w:val="single" w:sz="8" w:space="0" w:color="auto"/>
            </w:tcBorders>
            <w:vAlign w:val="center"/>
          </w:tcPr>
          <w:p w14:paraId="03C0E0FE"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w:t>
            </w:r>
            <w:r>
              <w:rPr>
                <w:rFonts w:ascii="宋体" w:eastAsia="宋体" w:hAnsi="宋体" w:cs="宋体"/>
                <w:sz w:val="18"/>
                <w:szCs w:val="21"/>
              </w:rPr>
              <w:t>0</w:t>
            </w:r>
          </w:p>
        </w:tc>
      </w:tr>
      <w:tr w:rsidR="00AB0B6E" w14:paraId="121DFBCC" w14:textId="77777777">
        <w:trPr>
          <w:jc w:val="center"/>
        </w:trPr>
        <w:tc>
          <w:tcPr>
            <w:tcW w:w="1418" w:type="dxa"/>
            <w:tcBorders>
              <w:top w:val="single" w:sz="4" w:space="0" w:color="auto"/>
              <w:left w:val="single" w:sz="8" w:space="0" w:color="auto"/>
              <w:bottom w:val="single" w:sz="4" w:space="0" w:color="auto"/>
            </w:tcBorders>
            <w:vAlign w:val="center"/>
          </w:tcPr>
          <w:p w14:paraId="7D67CDE7"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3</w:t>
            </w:r>
          </w:p>
        </w:tc>
        <w:tc>
          <w:tcPr>
            <w:tcW w:w="5849" w:type="dxa"/>
            <w:tcBorders>
              <w:top w:val="single" w:sz="4" w:space="0" w:color="auto"/>
              <w:bottom w:val="single" w:sz="4" w:space="0" w:color="auto"/>
            </w:tcBorders>
            <w:vAlign w:val="center"/>
          </w:tcPr>
          <w:p w14:paraId="1253063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箍筋间距</w:t>
            </w:r>
          </w:p>
        </w:tc>
        <w:tc>
          <w:tcPr>
            <w:tcW w:w="2303" w:type="dxa"/>
            <w:tcBorders>
              <w:top w:val="single" w:sz="4" w:space="0" w:color="auto"/>
              <w:bottom w:val="single" w:sz="4" w:space="0" w:color="auto"/>
              <w:right w:val="single" w:sz="8" w:space="0" w:color="auto"/>
            </w:tcBorders>
            <w:vAlign w:val="center"/>
          </w:tcPr>
          <w:p w14:paraId="16212F3D"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w:t>
            </w:r>
            <w:r>
              <w:rPr>
                <w:rFonts w:ascii="宋体" w:eastAsia="宋体" w:hAnsi="宋体" w:cs="宋体"/>
                <w:sz w:val="18"/>
                <w:szCs w:val="21"/>
              </w:rPr>
              <w:t>0</w:t>
            </w:r>
          </w:p>
        </w:tc>
      </w:tr>
      <w:tr w:rsidR="00AB0B6E" w14:paraId="4FE91A45" w14:textId="77777777">
        <w:trPr>
          <w:jc w:val="center"/>
        </w:trPr>
        <w:tc>
          <w:tcPr>
            <w:tcW w:w="1418" w:type="dxa"/>
            <w:tcBorders>
              <w:top w:val="single" w:sz="4" w:space="0" w:color="auto"/>
              <w:left w:val="single" w:sz="8" w:space="0" w:color="auto"/>
              <w:bottom w:val="single" w:sz="4" w:space="0" w:color="auto"/>
            </w:tcBorders>
            <w:vAlign w:val="center"/>
          </w:tcPr>
          <w:p w14:paraId="2351834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4</w:t>
            </w:r>
          </w:p>
        </w:tc>
        <w:tc>
          <w:tcPr>
            <w:tcW w:w="5849" w:type="dxa"/>
            <w:tcBorders>
              <w:top w:val="single" w:sz="4" w:space="0" w:color="auto"/>
              <w:bottom w:val="single" w:sz="4" w:space="0" w:color="auto"/>
            </w:tcBorders>
            <w:vAlign w:val="center"/>
          </w:tcPr>
          <w:p w14:paraId="0925D6D2"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吊环沿纵轴线方向</w:t>
            </w:r>
          </w:p>
        </w:tc>
        <w:tc>
          <w:tcPr>
            <w:tcW w:w="2303" w:type="dxa"/>
            <w:tcBorders>
              <w:top w:val="single" w:sz="4" w:space="0" w:color="auto"/>
              <w:bottom w:val="single" w:sz="4" w:space="0" w:color="auto"/>
              <w:right w:val="single" w:sz="8" w:space="0" w:color="auto"/>
            </w:tcBorders>
            <w:vAlign w:val="center"/>
          </w:tcPr>
          <w:p w14:paraId="0BAEE73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w:t>
            </w:r>
            <w:r>
              <w:rPr>
                <w:rFonts w:ascii="宋体" w:eastAsia="宋体" w:hAnsi="宋体" w:cs="宋体"/>
                <w:sz w:val="18"/>
                <w:szCs w:val="21"/>
              </w:rPr>
              <w:t>0</w:t>
            </w:r>
          </w:p>
        </w:tc>
      </w:tr>
      <w:tr w:rsidR="00AB0B6E" w14:paraId="2B996CA4" w14:textId="77777777">
        <w:trPr>
          <w:jc w:val="center"/>
        </w:trPr>
        <w:tc>
          <w:tcPr>
            <w:tcW w:w="1418" w:type="dxa"/>
            <w:tcBorders>
              <w:top w:val="single" w:sz="4" w:space="0" w:color="auto"/>
              <w:left w:val="single" w:sz="8" w:space="0" w:color="auto"/>
              <w:bottom w:val="single" w:sz="4" w:space="0" w:color="auto"/>
            </w:tcBorders>
            <w:vAlign w:val="center"/>
          </w:tcPr>
          <w:p w14:paraId="3CA1BB7C"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5</w:t>
            </w:r>
          </w:p>
        </w:tc>
        <w:tc>
          <w:tcPr>
            <w:tcW w:w="5849" w:type="dxa"/>
            <w:tcBorders>
              <w:top w:val="single" w:sz="4" w:space="0" w:color="auto"/>
              <w:bottom w:val="single" w:sz="4" w:space="0" w:color="auto"/>
            </w:tcBorders>
            <w:vAlign w:val="center"/>
          </w:tcPr>
          <w:p w14:paraId="23A2458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吊环沿垂直于纵轴线方向</w:t>
            </w:r>
          </w:p>
        </w:tc>
        <w:tc>
          <w:tcPr>
            <w:tcW w:w="2303" w:type="dxa"/>
            <w:tcBorders>
              <w:top w:val="single" w:sz="4" w:space="0" w:color="auto"/>
              <w:bottom w:val="single" w:sz="4" w:space="0" w:color="auto"/>
              <w:right w:val="single" w:sz="8" w:space="0" w:color="auto"/>
            </w:tcBorders>
            <w:vAlign w:val="center"/>
          </w:tcPr>
          <w:p w14:paraId="2352692B"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w:t>
            </w:r>
            <w:r>
              <w:rPr>
                <w:rFonts w:ascii="宋体" w:eastAsia="宋体" w:hAnsi="宋体" w:cs="宋体"/>
                <w:sz w:val="18"/>
                <w:szCs w:val="21"/>
              </w:rPr>
              <w:t>0</w:t>
            </w:r>
          </w:p>
        </w:tc>
      </w:tr>
      <w:tr w:rsidR="00AB0B6E" w14:paraId="7C8DB136" w14:textId="77777777">
        <w:trPr>
          <w:jc w:val="center"/>
        </w:trPr>
        <w:tc>
          <w:tcPr>
            <w:tcW w:w="1418" w:type="dxa"/>
            <w:tcBorders>
              <w:top w:val="single" w:sz="4" w:space="0" w:color="auto"/>
              <w:left w:val="single" w:sz="8" w:space="0" w:color="auto"/>
              <w:bottom w:val="single" w:sz="4" w:space="0" w:color="auto"/>
            </w:tcBorders>
            <w:vAlign w:val="center"/>
          </w:tcPr>
          <w:p w14:paraId="37E9972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6</w:t>
            </w:r>
          </w:p>
        </w:tc>
        <w:tc>
          <w:tcPr>
            <w:tcW w:w="5849" w:type="dxa"/>
            <w:tcBorders>
              <w:top w:val="single" w:sz="4" w:space="0" w:color="auto"/>
              <w:bottom w:val="single" w:sz="4" w:space="0" w:color="auto"/>
            </w:tcBorders>
            <w:vAlign w:val="center"/>
          </w:tcPr>
          <w:p w14:paraId="1757DF1A"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吊环露出桩表面的高度</w:t>
            </w:r>
          </w:p>
        </w:tc>
        <w:tc>
          <w:tcPr>
            <w:tcW w:w="2303" w:type="dxa"/>
            <w:tcBorders>
              <w:top w:val="single" w:sz="4" w:space="0" w:color="auto"/>
              <w:bottom w:val="single" w:sz="4" w:space="0" w:color="auto"/>
              <w:right w:val="single" w:sz="8" w:space="0" w:color="auto"/>
            </w:tcBorders>
            <w:vAlign w:val="center"/>
          </w:tcPr>
          <w:p w14:paraId="2116A39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w:t>
            </w:r>
            <w:r>
              <w:rPr>
                <w:rFonts w:ascii="宋体" w:eastAsia="宋体" w:hAnsi="宋体" w:cs="宋体"/>
                <w:sz w:val="18"/>
                <w:szCs w:val="21"/>
              </w:rPr>
              <w:t>0</w:t>
            </w:r>
          </w:p>
        </w:tc>
      </w:tr>
      <w:tr w:rsidR="00AB0B6E" w14:paraId="4738B0D6" w14:textId="77777777">
        <w:trPr>
          <w:jc w:val="center"/>
        </w:trPr>
        <w:tc>
          <w:tcPr>
            <w:tcW w:w="1418" w:type="dxa"/>
            <w:tcBorders>
              <w:top w:val="single" w:sz="4" w:space="0" w:color="auto"/>
              <w:left w:val="single" w:sz="8" w:space="0" w:color="auto"/>
              <w:bottom w:val="single" w:sz="4" w:space="0" w:color="auto"/>
            </w:tcBorders>
            <w:vAlign w:val="center"/>
          </w:tcPr>
          <w:p w14:paraId="62D46604"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7</w:t>
            </w:r>
          </w:p>
        </w:tc>
        <w:tc>
          <w:tcPr>
            <w:tcW w:w="5849" w:type="dxa"/>
            <w:tcBorders>
              <w:top w:val="single" w:sz="4" w:space="0" w:color="auto"/>
              <w:bottom w:val="single" w:sz="4" w:space="0" w:color="auto"/>
            </w:tcBorders>
            <w:vAlign w:val="center"/>
          </w:tcPr>
          <w:p w14:paraId="095A9BF8"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主筋距</w:t>
            </w:r>
            <w:proofErr w:type="gramStart"/>
            <w:r>
              <w:rPr>
                <w:rFonts w:ascii="宋体" w:eastAsia="宋体" w:hAnsi="宋体" w:cs="宋体" w:hint="eastAsia"/>
                <w:sz w:val="18"/>
                <w:szCs w:val="21"/>
              </w:rPr>
              <w:t>桩顶距离</w:t>
            </w:r>
            <w:proofErr w:type="gramEnd"/>
          </w:p>
        </w:tc>
        <w:tc>
          <w:tcPr>
            <w:tcW w:w="2303" w:type="dxa"/>
            <w:tcBorders>
              <w:top w:val="single" w:sz="4" w:space="0" w:color="auto"/>
              <w:bottom w:val="single" w:sz="4" w:space="0" w:color="auto"/>
              <w:right w:val="single" w:sz="8" w:space="0" w:color="auto"/>
            </w:tcBorders>
            <w:vAlign w:val="center"/>
          </w:tcPr>
          <w:p w14:paraId="741E3DE0"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w:t>
            </w:r>
            <w:r>
              <w:rPr>
                <w:rFonts w:ascii="宋体" w:eastAsia="宋体" w:hAnsi="宋体" w:cs="宋体"/>
                <w:sz w:val="18"/>
                <w:szCs w:val="21"/>
              </w:rPr>
              <w:t>5</w:t>
            </w:r>
          </w:p>
        </w:tc>
      </w:tr>
      <w:tr w:rsidR="00AB0B6E" w14:paraId="3AD51FC3" w14:textId="77777777">
        <w:trPr>
          <w:jc w:val="center"/>
        </w:trPr>
        <w:tc>
          <w:tcPr>
            <w:tcW w:w="1418" w:type="dxa"/>
            <w:tcBorders>
              <w:top w:val="single" w:sz="4" w:space="0" w:color="auto"/>
              <w:left w:val="single" w:sz="8" w:space="0" w:color="auto"/>
              <w:bottom w:val="single" w:sz="4" w:space="0" w:color="auto"/>
            </w:tcBorders>
            <w:vAlign w:val="center"/>
          </w:tcPr>
          <w:p w14:paraId="64E4E25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8</w:t>
            </w:r>
          </w:p>
        </w:tc>
        <w:tc>
          <w:tcPr>
            <w:tcW w:w="5849" w:type="dxa"/>
            <w:tcBorders>
              <w:top w:val="single" w:sz="4" w:space="0" w:color="auto"/>
              <w:bottom w:val="single" w:sz="4" w:space="0" w:color="auto"/>
            </w:tcBorders>
            <w:vAlign w:val="center"/>
          </w:tcPr>
          <w:p w14:paraId="3BCB6929" w14:textId="77777777" w:rsidR="00AB0B6E" w:rsidRDefault="00000000">
            <w:pPr>
              <w:jc w:val="center"/>
              <w:rPr>
                <w:rFonts w:ascii="宋体" w:eastAsia="宋体" w:hAnsi="宋体" w:cs="宋体" w:hint="eastAsia"/>
                <w:sz w:val="18"/>
                <w:szCs w:val="21"/>
              </w:rPr>
            </w:pPr>
            <w:proofErr w:type="gramStart"/>
            <w:r>
              <w:rPr>
                <w:rFonts w:ascii="宋体" w:eastAsia="宋体" w:hAnsi="宋体" w:cs="宋体" w:hint="eastAsia"/>
                <w:sz w:val="18"/>
                <w:szCs w:val="21"/>
              </w:rPr>
              <w:t>桩顶钢筋</w:t>
            </w:r>
            <w:proofErr w:type="gramEnd"/>
            <w:r>
              <w:rPr>
                <w:rFonts w:ascii="宋体" w:eastAsia="宋体" w:hAnsi="宋体" w:cs="宋体" w:hint="eastAsia"/>
                <w:sz w:val="18"/>
                <w:szCs w:val="21"/>
              </w:rPr>
              <w:t>网</w:t>
            </w:r>
            <w:proofErr w:type="gramStart"/>
            <w:r>
              <w:rPr>
                <w:rFonts w:ascii="宋体" w:eastAsia="宋体" w:hAnsi="宋体" w:cs="宋体" w:hint="eastAsia"/>
                <w:sz w:val="18"/>
                <w:szCs w:val="21"/>
              </w:rPr>
              <w:t>片位置</w:t>
            </w:r>
            <w:proofErr w:type="gramEnd"/>
          </w:p>
        </w:tc>
        <w:tc>
          <w:tcPr>
            <w:tcW w:w="2303" w:type="dxa"/>
            <w:tcBorders>
              <w:top w:val="single" w:sz="4" w:space="0" w:color="auto"/>
              <w:bottom w:val="single" w:sz="4" w:space="0" w:color="auto"/>
              <w:right w:val="single" w:sz="8" w:space="0" w:color="auto"/>
            </w:tcBorders>
            <w:vAlign w:val="center"/>
          </w:tcPr>
          <w:p w14:paraId="058E3007"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w:t>
            </w:r>
            <w:r>
              <w:rPr>
                <w:rFonts w:ascii="宋体" w:eastAsia="宋体" w:hAnsi="宋体" w:cs="宋体"/>
                <w:sz w:val="18"/>
                <w:szCs w:val="21"/>
              </w:rPr>
              <w:t>10</w:t>
            </w:r>
          </w:p>
        </w:tc>
      </w:tr>
      <w:tr w:rsidR="00AB0B6E" w14:paraId="4B7BF6B5" w14:textId="77777777">
        <w:trPr>
          <w:jc w:val="center"/>
        </w:trPr>
        <w:tc>
          <w:tcPr>
            <w:tcW w:w="1418" w:type="dxa"/>
            <w:tcBorders>
              <w:top w:val="single" w:sz="4" w:space="0" w:color="auto"/>
              <w:left w:val="single" w:sz="8" w:space="0" w:color="auto"/>
              <w:bottom w:val="single" w:sz="8" w:space="0" w:color="auto"/>
            </w:tcBorders>
            <w:vAlign w:val="center"/>
          </w:tcPr>
          <w:p w14:paraId="1D303D8E"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9</w:t>
            </w:r>
          </w:p>
        </w:tc>
        <w:tc>
          <w:tcPr>
            <w:tcW w:w="5849" w:type="dxa"/>
            <w:tcBorders>
              <w:top w:val="single" w:sz="4" w:space="0" w:color="auto"/>
              <w:bottom w:val="single" w:sz="8" w:space="0" w:color="auto"/>
            </w:tcBorders>
            <w:vAlign w:val="center"/>
          </w:tcPr>
          <w:p w14:paraId="5EB62F8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预埋件中心位置</w:t>
            </w:r>
          </w:p>
        </w:tc>
        <w:tc>
          <w:tcPr>
            <w:tcW w:w="2303" w:type="dxa"/>
            <w:tcBorders>
              <w:top w:val="single" w:sz="4" w:space="0" w:color="auto"/>
              <w:bottom w:val="single" w:sz="8" w:space="0" w:color="auto"/>
              <w:right w:val="single" w:sz="8" w:space="0" w:color="auto"/>
            </w:tcBorders>
            <w:vAlign w:val="center"/>
          </w:tcPr>
          <w:p w14:paraId="0E4A17B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w:t>
            </w:r>
            <w:r>
              <w:rPr>
                <w:rFonts w:ascii="宋体" w:eastAsia="宋体" w:hAnsi="宋体" w:cs="宋体"/>
                <w:sz w:val="18"/>
                <w:szCs w:val="21"/>
              </w:rPr>
              <w:t>3</w:t>
            </w:r>
          </w:p>
        </w:tc>
      </w:tr>
    </w:tbl>
    <w:p w14:paraId="6DB45EEF" w14:textId="77777777" w:rsidR="00AB0B6E" w:rsidRDefault="00000000">
      <w:pPr>
        <w:pStyle w:val="af7"/>
        <w:spacing w:before="156" w:after="156"/>
      </w:pPr>
      <w:r>
        <w:rPr>
          <w:rFonts w:hint="eastAsia"/>
        </w:rPr>
        <w:t>预制桩外观质量的允许偏差</w:t>
      </w:r>
    </w:p>
    <w:tbl>
      <w:tblPr>
        <w:tblW w:w="95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18"/>
        <w:gridCol w:w="5849"/>
        <w:gridCol w:w="2303"/>
      </w:tblGrid>
      <w:tr w:rsidR="00AB0B6E" w14:paraId="48606BF4" w14:textId="77777777">
        <w:trPr>
          <w:jc w:val="center"/>
        </w:trPr>
        <w:tc>
          <w:tcPr>
            <w:tcW w:w="1418" w:type="dxa"/>
            <w:tcBorders>
              <w:top w:val="single" w:sz="8" w:space="0" w:color="auto"/>
              <w:left w:val="single" w:sz="8" w:space="0" w:color="auto"/>
              <w:bottom w:val="single" w:sz="8" w:space="0" w:color="auto"/>
            </w:tcBorders>
            <w:vAlign w:val="center"/>
          </w:tcPr>
          <w:p w14:paraId="3BAAE738" w14:textId="77777777" w:rsidR="00AB0B6E" w:rsidRDefault="00000000">
            <w:pPr>
              <w:jc w:val="center"/>
              <w:rPr>
                <w:rFonts w:ascii="宋体" w:eastAsia="宋体" w:hAnsi="宋体" w:cs="宋体" w:hint="eastAsia"/>
                <w:sz w:val="18"/>
                <w:szCs w:val="21"/>
              </w:rPr>
            </w:pPr>
            <w:bookmarkStart w:id="110" w:name="_Hlk167030816"/>
            <w:r>
              <w:rPr>
                <w:rFonts w:ascii="宋体" w:eastAsia="宋体" w:hAnsi="宋体" w:cs="宋体" w:hint="eastAsia"/>
                <w:sz w:val="18"/>
                <w:szCs w:val="21"/>
              </w:rPr>
              <w:t>序号</w:t>
            </w:r>
          </w:p>
        </w:tc>
        <w:tc>
          <w:tcPr>
            <w:tcW w:w="5849" w:type="dxa"/>
            <w:tcBorders>
              <w:top w:val="single" w:sz="8" w:space="0" w:color="auto"/>
              <w:bottom w:val="single" w:sz="8" w:space="0" w:color="auto"/>
            </w:tcBorders>
            <w:vAlign w:val="center"/>
          </w:tcPr>
          <w:p w14:paraId="2675148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项目</w:t>
            </w:r>
          </w:p>
        </w:tc>
        <w:tc>
          <w:tcPr>
            <w:tcW w:w="2303" w:type="dxa"/>
            <w:tcBorders>
              <w:top w:val="single" w:sz="8" w:space="0" w:color="auto"/>
              <w:bottom w:val="single" w:sz="8" w:space="0" w:color="auto"/>
              <w:right w:val="single" w:sz="8" w:space="0" w:color="auto"/>
            </w:tcBorders>
            <w:vAlign w:val="center"/>
          </w:tcPr>
          <w:p w14:paraId="74A06570"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允许偏差</w:t>
            </w:r>
          </w:p>
        </w:tc>
      </w:tr>
      <w:tr w:rsidR="00AB0B6E" w14:paraId="49126368" w14:textId="77777777">
        <w:trPr>
          <w:jc w:val="center"/>
        </w:trPr>
        <w:tc>
          <w:tcPr>
            <w:tcW w:w="1418" w:type="dxa"/>
            <w:tcBorders>
              <w:top w:val="single" w:sz="8" w:space="0" w:color="auto"/>
              <w:left w:val="single" w:sz="8" w:space="0" w:color="auto"/>
              <w:bottom w:val="single" w:sz="4" w:space="0" w:color="auto"/>
            </w:tcBorders>
            <w:vAlign w:val="center"/>
          </w:tcPr>
          <w:p w14:paraId="361A49A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w:t>
            </w:r>
          </w:p>
        </w:tc>
        <w:tc>
          <w:tcPr>
            <w:tcW w:w="5849" w:type="dxa"/>
            <w:tcBorders>
              <w:top w:val="single" w:sz="8" w:space="0" w:color="auto"/>
              <w:bottom w:val="single" w:sz="4" w:space="0" w:color="auto"/>
            </w:tcBorders>
            <w:vAlign w:val="center"/>
          </w:tcPr>
          <w:p w14:paraId="2987851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表面平整、密实，掉角深度</w:t>
            </w:r>
          </w:p>
        </w:tc>
        <w:tc>
          <w:tcPr>
            <w:tcW w:w="2303" w:type="dxa"/>
            <w:tcBorders>
              <w:top w:val="single" w:sz="8" w:space="0" w:color="auto"/>
              <w:bottom w:val="single" w:sz="4" w:space="0" w:color="auto"/>
              <w:right w:val="single" w:sz="8" w:space="0" w:color="auto"/>
            </w:tcBorders>
            <w:vAlign w:val="center"/>
          </w:tcPr>
          <w:p w14:paraId="4F09E13B"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≤10m</w:t>
            </w:r>
            <w:r>
              <w:rPr>
                <w:rFonts w:ascii="宋体" w:eastAsia="宋体" w:hAnsi="宋体" w:cs="宋体"/>
                <w:sz w:val="18"/>
                <w:szCs w:val="21"/>
              </w:rPr>
              <w:t>m</w:t>
            </w:r>
          </w:p>
        </w:tc>
      </w:tr>
      <w:tr w:rsidR="00AB0B6E" w14:paraId="6D64836A" w14:textId="77777777">
        <w:trPr>
          <w:jc w:val="center"/>
        </w:trPr>
        <w:tc>
          <w:tcPr>
            <w:tcW w:w="1418" w:type="dxa"/>
            <w:tcBorders>
              <w:top w:val="single" w:sz="4" w:space="0" w:color="auto"/>
              <w:left w:val="single" w:sz="8" w:space="0" w:color="auto"/>
              <w:bottom w:val="single" w:sz="4" w:space="0" w:color="auto"/>
            </w:tcBorders>
            <w:vAlign w:val="center"/>
          </w:tcPr>
          <w:p w14:paraId="617C77DA"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w:t>
            </w:r>
          </w:p>
        </w:tc>
        <w:tc>
          <w:tcPr>
            <w:tcW w:w="5849" w:type="dxa"/>
            <w:tcBorders>
              <w:top w:val="single" w:sz="4" w:space="0" w:color="auto"/>
              <w:bottom w:val="single" w:sz="4" w:space="0" w:color="auto"/>
            </w:tcBorders>
            <w:vAlign w:val="center"/>
          </w:tcPr>
          <w:p w14:paraId="7F0ED5AF"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局部蜂窝和掉角的缺损面积不超过全部柱表面积</w:t>
            </w:r>
          </w:p>
        </w:tc>
        <w:tc>
          <w:tcPr>
            <w:tcW w:w="2303" w:type="dxa"/>
            <w:tcBorders>
              <w:top w:val="single" w:sz="4" w:space="0" w:color="auto"/>
              <w:bottom w:val="single" w:sz="4" w:space="0" w:color="auto"/>
              <w:right w:val="single" w:sz="8" w:space="0" w:color="auto"/>
            </w:tcBorders>
            <w:vAlign w:val="center"/>
          </w:tcPr>
          <w:p w14:paraId="7728A590" w14:textId="77777777" w:rsidR="00AB0B6E" w:rsidRDefault="00000000">
            <w:pPr>
              <w:jc w:val="center"/>
              <w:rPr>
                <w:rFonts w:ascii="宋体" w:eastAsia="宋体" w:hAnsi="宋体" w:cs="宋体" w:hint="eastAsia"/>
                <w:sz w:val="18"/>
                <w:szCs w:val="21"/>
              </w:rPr>
            </w:pPr>
            <w:r>
              <w:rPr>
                <w:rFonts w:ascii="宋体" w:eastAsia="宋体" w:hAnsi="宋体" w:cs="宋体"/>
                <w:sz w:val="18"/>
                <w:szCs w:val="21"/>
              </w:rPr>
              <w:t>0.5%</w:t>
            </w:r>
          </w:p>
        </w:tc>
      </w:tr>
      <w:tr w:rsidR="00AB0B6E" w14:paraId="6B989739" w14:textId="77777777">
        <w:trPr>
          <w:jc w:val="center"/>
        </w:trPr>
        <w:tc>
          <w:tcPr>
            <w:tcW w:w="1418" w:type="dxa"/>
            <w:tcBorders>
              <w:top w:val="single" w:sz="4" w:space="0" w:color="auto"/>
              <w:left w:val="single" w:sz="8" w:space="0" w:color="auto"/>
              <w:bottom w:val="single" w:sz="4" w:space="0" w:color="auto"/>
            </w:tcBorders>
            <w:vAlign w:val="center"/>
          </w:tcPr>
          <w:p w14:paraId="44126E52"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3</w:t>
            </w:r>
          </w:p>
        </w:tc>
        <w:tc>
          <w:tcPr>
            <w:tcW w:w="5849" w:type="dxa"/>
            <w:tcBorders>
              <w:top w:val="single" w:sz="4" w:space="0" w:color="auto"/>
              <w:bottom w:val="single" w:sz="4" w:space="0" w:color="auto"/>
            </w:tcBorders>
            <w:vAlign w:val="center"/>
          </w:tcPr>
          <w:p w14:paraId="121F208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混凝土的收缩裂缝深度</w:t>
            </w:r>
          </w:p>
        </w:tc>
        <w:tc>
          <w:tcPr>
            <w:tcW w:w="2303" w:type="dxa"/>
            <w:tcBorders>
              <w:top w:val="single" w:sz="4" w:space="0" w:color="auto"/>
              <w:bottom w:val="single" w:sz="4" w:space="0" w:color="auto"/>
              <w:right w:val="single" w:sz="8" w:space="0" w:color="auto"/>
            </w:tcBorders>
            <w:vAlign w:val="center"/>
          </w:tcPr>
          <w:p w14:paraId="4F2F7B4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≤20m</w:t>
            </w:r>
            <w:r>
              <w:rPr>
                <w:rFonts w:ascii="宋体" w:eastAsia="宋体" w:hAnsi="宋体" w:cs="宋体"/>
                <w:sz w:val="18"/>
                <w:szCs w:val="21"/>
              </w:rPr>
              <w:t>m</w:t>
            </w:r>
          </w:p>
        </w:tc>
      </w:tr>
      <w:tr w:rsidR="00AB0B6E" w14:paraId="0DC96755" w14:textId="77777777">
        <w:trPr>
          <w:jc w:val="center"/>
        </w:trPr>
        <w:tc>
          <w:tcPr>
            <w:tcW w:w="1418" w:type="dxa"/>
            <w:tcBorders>
              <w:top w:val="single" w:sz="4" w:space="0" w:color="auto"/>
              <w:left w:val="single" w:sz="8" w:space="0" w:color="auto"/>
              <w:bottom w:val="single" w:sz="4" w:space="0" w:color="auto"/>
            </w:tcBorders>
            <w:vAlign w:val="center"/>
          </w:tcPr>
          <w:p w14:paraId="57EE566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4</w:t>
            </w:r>
          </w:p>
        </w:tc>
        <w:tc>
          <w:tcPr>
            <w:tcW w:w="5849" w:type="dxa"/>
            <w:tcBorders>
              <w:top w:val="single" w:sz="4" w:space="0" w:color="auto"/>
              <w:bottom w:val="single" w:sz="4" w:space="0" w:color="auto"/>
            </w:tcBorders>
            <w:vAlign w:val="center"/>
          </w:tcPr>
          <w:p w14:paraId="6D75681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混凝土的收缩裂缝宽度</w:t>
            </w:r>
          </w:p>
        </w:tc>
        <w:tc>
          <w:tcPr>
            <w:tcW w:w="2303" w:type="dxa"/>
            <w:tcBorders>
              <w:top w:val="single" w:sz="4" w:space="0" w:color="auto"/>
              <w:bottom w:val="single" w:sz="4" w:space="0" w:color="auto"/>
              <w:right w:val="single" w:sz="8" w:space="0" w:color="auto"/>
            </w:tcBorders>
            <w:vAlign w:val="center"/>
          </w:tcPr>
          <w:p w14:paraId="4C26F67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≤0.15m</w:t>
            </w:r>
            <w:r>
              <w:rPr>
                <w:rFonts w:ascii="宋体" w:eastAsia="宋体" w:hAnsi="宋体" w:cs="宋体"/>
                <w:sz w:val="18"/>
                <w:szCs w:val="21"/>
              </w:rPr>
              <w:t>m</w:t>
            </w:r>
          </w:p>
        </w:tc>
      </w:tr>
      <w:tr w:rsidR="00AB0B6E" w14:paraId="4306632E" w14:textId="77777777">
        <w:trPr>
          <w:jc w:val="center"/>
        </w:trPr>
        <w:tc>
          <w:tcPr>
            <w:tcW w:w="1418" w:type="dxa"/>
            <w:tcBorders>
              <w:top w:val="single" w:sz="4" w:space="0" w:color="auto"/>
              <w:left w:val="single" w:sz="8" w:space="0" w:color="auto"/>
              <w:bottom w:val="single" w:sz="8" w:space="0" w:color="auto"/>
            </w:tcBorders>
            <w:vAlign w:val="center"/>
          </w:tcPr>
          <w:p w14:paraId="028DDB4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5</w:t>
            </w:r>
          </w:p>
        </w:tc>
        <w:tc>
          <w:tcPr>
            <w:tcW w:w="5849" w:type="dxa"/>
            <w:tcBorders>
              <w:top w:val="single" w:sz="4" w:space="0" w:color="auto"/>
              <w:bottom w:val="single" w:sz="8" w:space="0" w:color="auto"/>
            </w:tcBorders>
            <w:vAlign w:val="center"/>
          </w:tcPr>
          <w:p w14:paraId="172223DD"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混凝土的横向裂缝长度不超过边长</w:t>
            </w:r>
          </w:p>
        </w:tc>
        <w:tc>
          <w:tcPr>
            <w:tcW w:w="2303" w:type="dxa"/>
            <w:tcBorders>
              <w:top w:val="single" w:sz="4" w:space="0" w:color="auto"/>
              <w:bottom w:val="single" w:sz="8" w:space="0" w:color="auto"/>
              <w:right w:val="single" w:sz="8" w:space="0" w:color="auto"/>
            </w:tcBorders>
            <w:vAlign w:val="center"/>
          </w:tcPr>
          <w:p w14:paraId="13C68C70"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50%</w:t>
            </w:r>
          </w:p>
        </w:tc>
      </w:tr>
    </w:tbl>
    <w:bookmarkEnd w:id="110"/>
    <w:p w14:paraId="6717A1EB" w14:textId="77777777" w:rsidR="00AB0B6E" w:rsidRDefault="00000000">
      <w:pPr>
        <w:pStyle w:val="a6"/>
      </w:pPr>
      <w:r>
        <w:rPr>
          <w:rFonts w:hint="eastAsia"/>
        </w:rPr>
        <w:t>一般项目包含标识、外观质量、制作尺寸，采用观察、尺量检查方法。</w:t>
      </w:r>
    </w:p>
    <w:p w14:paraId="10AB95C8" w14:textId="77777777" w:rsidR="00AB0B6E" w:rsidRDefault="00000000">
      <w:pPr>
        <w:pStyle w:val="ac"/>
      </w:pPr>
      <w:r>
        <w:rPr>
          <w:rFonts w:hint="eastAsia"/>
        </w:rPr>
        <w:t>预制桩有标识，全数检查；</w:t>
      </w:r>
    </w:p>
    <w:p w14:paraId="219DD23B" w14:textId="77777777" w:rsidR="00AB0B6E" w:rsidRDefault="00000000">
      <w:pPr>
        <w:pStyle w:val="ac"/>
      </w:pPr>
      <w:r>
        <w:rPr>
          <w:rFonts w:hint="eastAsia"/>
        </w:rPr>
        <w:t>预制桩的外观质量无一般缺陷，全数检查；</w:t>
      </w:r>
    </w:p>
    <w:p w14:paraId="3E96DA3B" w14:textId="77777777" w:rsidR="00AB0B6E" w:rsidRDefault="00000000">
      <w:pPr>
        <w:pStyle w:val="ac"/>
      </w:pPr>
      <w:r>
        <w:rPr>
          <w:rFonts w:hint="eastAsia"/>
        </w:rPr>
        <w:t>预制桩的制作尺寸偏差符合表5的规定，不超过100根为一批，每批应抽查批量的5%，且不少于3根。</w:t>
      </w:r>
    </w:p>
    <w:p w14:paraId="3C3ED723" w14:textId="77777777" w:rsidR="00AB0B6E" w:rsidRDefault="00000000">
      <w:pPr>
        <w:pStyle w:val="af7"/>
        <w:spacing w:before="156" w:after="156"/>
      </w:pPr>
      <w:r>
        <w:rPr>
          <w:rFonts w:hint="eastAsia"/>
        </w:rPr>
        <w:t>预制桩制作尺寸的允许偏差</w:t>
      </w:r>
    </w:p>
    <w:tbl>
      <w:tblPr>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476"/>
        <w:gridCol w:w="2376"/>
      </w:tblGrid>
      <w:tr w:rsidR="00AB0B6E" w14:paraId="0714BB13" w14:textId="77777777">
        <w:trPr>
          <w:jc w:val="center"/>
        </w:trPr>
        <w:tc>
          <w:tcPr>
            <w:tcW w:w="756" w:type="dxa"/>
            <w:tcBorders>
              <w:top w:val="single" w:sz="8" w:space="0" w:color="auto"/>
              <w:left w:val="single" w:sz="8" w:space="0" w:color="auto"/>
              <w:bottom w:val="single" w:sz="8" w:space="0" w:color="auto"/>
            </w:tcBorders>
            <w:shd w:val="clear" w:color="FFFFFF" w:fill="FFFFFF"/>
            <w:vAlign w:val="center"/>
          </w:tcPr>
          <w:p w14:paraId="51D01B0D"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桩型</w:t>
            </w:r>
          </w:p>
        </w:tc>
        <w:tc>
          <w:tcPr>
            <w:tcW w:w="1476" w:type="dxa"/>
            <w:tcBorders>
              <w:top w:val="single" w:sz="8" w:space="0" w:color="auto"/>
              <w:bottom w:val="single" w:sz="8" w:space="0" w:color="auto"/>
            </w:tcBorders>
            <w:shd w:val="clear" w:color="FFFFFF" w:fill="FFFFFF"/>
            <w:vAlign w:val="center"/>
          </w:tcPr>
          <w:p w14:paraId="37AAAA8C"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项目</w:t>
            </w:r>
          </w:p>
        </w:tc>
        <w:tc>
          <w:tcPr>
            <w:tcW w:w="2376" w:type="dxa"/>
            <w:tcBorders>
              <w:top w:val="single" w:sz="8" w:space="0" w:color="auto"/>
              <w:bottom w:val="single" w:sz="8" w:space="0" w:color="auto"/>
              <w:right w:val="single" w:sz="8" w:space="0" w:color="auto"/>
            </w:tcBorders>
            <w:shd w:val="clear" w:color="FFFFFF" w:fill="FFFFFF"/>
            <w:vAlign w:val="center"/>
          </w:tcPr>
          <w:p w14:paraId="295D9B1F"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允许偏差</w:t>
            </w:r>
          </w:p>
        </w:tc>
      </w:tr>
      <w:tr w:rsidR="00AB0B6E" w14:paraId="73E75832" w14:textId="77777777">
        <w:trPr>
          <w:jc w:val="center"/>
        </w:trPr>
        <w:tc>
          <w:tcPr>
            <w:tcW w:w="756" w:type="dxa"/>
            <w:vMerge w:val="restart"/>
            <w:tcBorders>
              <w:top w:val="single" w:sz="8" w:space="0" w:color="auto"/>
              <w:left w:val="single" w:sz="8" w:space="0" w:color="auto"/>
            </w:tcBorders>
            <w:shd w:val="clear" w:color="FFFFFF" w:fill="FFFFFF"/>
            <w:vAlign w:val="center"/>
          </w:tcPr>
          <w:p w14:paraId="41596DF7"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预制桩</w:t>
            </w:r>
          </w:p>
        </w:tc>
        <w:tc>
          <w:tcPr>
            <w:tcW w:w="1476" w:type="dxa"/>
            <w:tcBorders>
              <w:top w:val="single" w:sz="8" w:space="0" w:color="auto"/>
            </w:tcBorders>
            <w:shd w:val="clear" w:color="FFFFFF" w:fill="FFFFFF"/>
            <w:vAlign w:val="center"/>
          </w:tcPr>
          <w:p w14:paraId="1EDC8110"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横截面边长</w:t>
            </w:r>
          </w:p>
        </w:tc>
        <w:tc>
          <w:tcPr>
            <w:tcW w:w="2376" w:type="dxa"/>
            <w:tcBorders>
              <w:top w:val="single" w:sz="8" w:space="0" w:color="auto"/>
              <w:right w:val="single" w:sz="8" w:space="0" w:color="auto"/>
            </w:tcBorders>
            <w:shd w:val="clear" w:color="FFFFFF" w:fill="FFFFFF"/>
            <w:vAlign w:val="center"/>
          </w:tcPr>
          <w:p w14:paraId="0C4FFE9C"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±3mm</w:t>
            </w:r>
          </w:p>
        </w:tc>
      </w:tr>
      <w:tr w:rsidR="00AB0B6E" w14:paraId="10E45248" w14:textId="77777777">
        <w:trPr>
          <w:jc w:val="center"/>
        </w:trPr>
        <w:tc>
          <w:tcPr>
            <w:tcW w:w="756" w:type="dxa"/>
            <w:vMerge/>
            <w:tcBorders>
              <w:left w:val="single" w:sz="8" w:space="0" w:color="auto"/>
            </w:tcBorders>
            <w:shd w:val="clear" w:color="FFFFFF" w:fill="FFFFFF"/>
            <w:vAlign w:val="center"/>
          </w:tcPr>
          <w:p w14:paraId="0D2F78D8" w14:textId="77777777" w:rsidR="00AB0B6E" w:rsidRDefault="00AB0B6E">
            <w:pPr>
              <w:jc w:val="center"/>
              <w:rPr>
                <w:rFonts w:ascii="宋体" w:eastAsia="宋体" w:hAnsi="宋体" w:cs="宋体" w:hint="eastAsia"/>
                <w:sz w:val="18"/>
                <w:szCs w:val="21"/>
              </w:rPr>
            </w:pPr>
          </w:p>
        </w:tc>
        <w:tc>
          <w:tcPr>
            <w:tcW w:w="1476" w:type="dxa"/>
            <w:shd w:val="clear" w:color="FFFFFF" w:fill="FFFFFF"/>
            <w:vAlign w:val="center"/>
          </w:tcPr>
          <w:p w14:paraId="713BA18D" w14:textId="77777777" w:rsidR="00AB0B6E" w:rsidRDefault="00000000">
            <w:pPr>
              <w:jc w:val="center"/>
              <w:rPr>
                <w:rFonts w:ascii="宋体" w:eastAsia="宋体" w:hAnsi="宋体" w:cs="宋体" w:hint="eastAsia"/>
                <w:sz w:val="18"/>
                <w:szCs w:val="21"/>
              </w:rPr>
            </w:pPr>
            <w:proofErr w:type="gramStart"/>
            <w:r>
              <w:rPr>
                <w:rFonts w:ascii="宋体" w:eastAsia="宋体" w:hAnsi="宋体" w:cs="宋体" w:hint="eastAsia"/>
                <w:sz w:val="18"/>
                <w:szCs w:val="21"/>
              </w:rPr>
              <w:t>桩顶对角线</w:t>
            </w:r>
            <w:proofErr w:type="gramEnd"/>
            <w:r>
              <w:rPr>
                <w:rFonts w:ascii="宋体" w:eastAsia="宋体" w:hAnsi="宋体" w:cs="宋体" w:hint="eastAsia"/>
                <w:sz w:val="18"/>
                <w:szCs w:val="21"/>
              </w:rPr>
              <w:t>之差</w:t>
            </w:r>
          </w:p>
        </w:tc>
        <w:tc>
          <w:tcPr>
            <w:tcW w:w="2376" w:type="dxa"/>
            <w:tcBorders>
              <w:right w:val="single" w:sz="8" w:space="0" w:color="auto"/>
            </w:tcBorders>
            <w:shd w:val="clear" w:color="FFFFFF" w:fill="FFFFFF"/>
            <w:vAlign w:val="center"/>
          </w:tcPr>
          <w:p w14:paraId="17B1891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≤5mm</w:t>
            </w:r>
          </w:p>
        </w:tc>
      </w:tr>
      <w:tr w:rsidR="00AB0B6E" w14:paraId="0BA2DE52" w14:textId="77777777">
        <w:trPr>
          <w:jc w:val="center"/>
        </w:trPr>
        <w:tc>
          <w:tcPr>
            <w:tcW w:w="756" w:type="dxa"/>
            <w:vMerge/>
            <w:tcBorders>
              <w:left w:val="single" w:sz="8" w:space="0" w:color="auto"/>
            </w:tcBorders>
            <w:shd w:val="clear" w:color="FFFFFF" w:fill="FFFFFF"/>
            <w:vAlign w:val="center"/>
          </w:tcPr>
          <w:p w14:paraId="2235465C" w14:textId="77777777" w:rsidR="00AB0B6E" w:rsidRDefault="00AB0B6E">
            <w:pPr>
              <w:jc w:val="center"/>
              <w:rPr>
                <w:rFonts w:ascii="宋体" w:eastAsia="宋体" w:hAnsi="宋体" w:cs="宋体" w:hint="eastAsia"/>
                <w:sz w:val="18"/>
                <w:szCs w:val="21"/>
              </w:rPr>
            </w:pPr>
          </w:p>
        </w:tc>
        <w:tc>
          <w:tcPr>
            <w:tcW w:w="1476" w:type="dxa"/>
            <w:shd w:val="clear" w:color="FFFFFF" w:fill="FFFFFF"/>
            <w:vAlign w:val="center"/>
          </w:tcPr>
          <w:p w14:paraId="70D905B8"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保护层厚度</w:t>
            </w:r>
          </w:p>
        </w:tc>
        <w:tc>
          <w:tcPr>
            <w:tcW w:w="2376" w:type="dxa"/>
            <w:tcBorders>
              <w:right w:val="single" w:sz="8" w:space="0" w:color="auto"/>
            </w:tcBorders>
            <w:shd w:val="clear" w:color="FFFFFF" w:fill="FFFFFF"/>
            <w:vAlign w:val="center"/>
          </w:tcPr>
          <w:p w14:paraId="50BD5CED"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±3mm</w:t>
            </w:r>
          </w:p>
        </w:tc>
      </w:tr>
      <w:tr w:rsidR="00AB0B6E" w14:paraId="605FA701" w14:textId="77777777">
        <w:trPr>
          <w:jc w:val="center"/>
        </w:trPr>
        <w:tc>
          <w:tcPr>
            <w:tcW w:w="756" w:type="dxa"/>
            <w:vMerge/>
            <w:tcBorders>
              <w:left w:val="single" w:sz="8" w:space="0" w:color="auto"/>
            </w:tcBorders>
            <w:shd w:val="clear" w:color="FFFFFF" w:fill="FFFFFF"/>
            <w:vAlign w:val="center"/>
          </w:tcPr>
          <w:p w14:paraId="0237AAB0" w14:textId="77777777" w:rsidR="00AB0B6E" w:rsidRDefault="00AB0B6E">
            <w:pPr>
              <w:jc w:val="center"/>
              <w:rPr>
                <w:rFonts w:ascii="宋体" w:eastAsia="宋体" w:hAnsi="宋体" w:cs="宋体" w:hint="eastAsia"/>
                <w:sz w:val="18"/>
                <w:szCs w:val="21"/>
              </w:rPr>
            </w:pPr>
          </w:p>
        </w:tc>
        <w:tc>
          <w:tcPr>
            <w:tcW w:w="1476" w:type="dxa"/>
            <w:shd w:val="clear" w:color="FFFFFF" w:fill="FFFFFF"/>
            <w:vAlign w:val="center"/>
          </w:tcPr>
          <w:p w14:paraId="2C9BCC93"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桩身弯曲矢高</w:t>
            </w:r>
          </w:p>
        </w:tc>
        <w:tc>
          <w:tcPr>
            <w:tcW w:w="2376" w:type="dxa"/>
            <w:tcBorders>
              <w:right w:val="single" w:sz="8" w:space="0" w:color="auto"/>
            </w:tcBorders>
            <w:shd w:val="clear" w:color="FFFFFF" w:fill="FFFFFF"/>
            <w:vAlign w:val="center"/>
          </w:tcPr>
          <w:p w14:paraId="7003E47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≤1‰桩长且≤20mm</w:t>
            </w:r>
          </w:p>
        </w:tc>
      </w:tr>
      <w:tr w:rsidR="00AB0B6E" w14:paraId="3A6D540F" w14:textId="77777777">
        <w:trPr>
          <w:jc w:val="center"/>
        </w:trPr>
        <w:tc>
          <w:tcPr>
            <w:tcW w:w="756" w:type="dxa"/>
            <w:vMerge/>
            <w:tcBorders>
              <w:left w:val="single" w:sz="8" w:space="0" w:color="auto"/>
            </w:tcBorders>
            <w:shd w:val="clear" w:color="FFFFFF" w:fill="FFFFFF"/>
            <w:vAlign w:val="center"/>
          </w:tcPr>
          <w:p w14:paraId="5096B731" w14:textId="77777777" w:rsidR="00AB0B6E" w:rsidRDefault="00AB0B6E">
            <w:pPr>
              <w:jc w:val="center"/>
              <w:rPr>
                <w:rFonts w:ascii="宋体" w:eastAsia="宋体" w:hAnsi="宋体" w:cs="宋体" w:hint="eastAsia"/>
                <w:sz w:val="18"/>
                <w:szCs w:val="21"/>
              </w:rPr>
            </w:pPr>
          </w:p>
        </w:tc>
        <w:tc>
          <w:tcPr>
            <w:tcW w:w="1476" w:type="dxa"/>
            <w:shd w:val="clear" w:color="FFFFFF" w:fill="FFFFFF"/>
            <w:vAlign w:val="center"/>
          </w:tcPr>
          <w:p w14:paraId="40FEA6DF"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桩尖偏心</w:t>
            </w:r>
          </w:p>
        </w:tc>
        <w:tc>
          <w:tcPr>
            <w:tcW w:w="2376" w:type="dxa"/>
            <w:tcBorders>
              <w:right w:val="single" w:sz="8" w:space="0" w:color="auto"/>
            </w:tcBorders>
            <w:shd w:val="clear" w:color="FFFFFF" w:fill="FFFFFF"/>
            <w:vAlign w:val="center"/>
          </w:tcPr>
          <w:p w14:paraId="04548B3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≤10mm</w:t>
            </w:r>
          </w:p>
        </w:tc>
      </w:tr>
      <w:tr w:rsidR="00AB0B6E" w14:paraId="4CED5871" w14:textId="77777777">
        <w:trPr>
          <w:jc w:val="center"/>
        </w:trPr>
        <w:tc>
          <w:tcPr>
            <w:tcW w:w="756" w:type="dxa"/>
            <w:vMerge/>
            <w:tcBorders>
              <w:left w:val="single" w:sz="8" w:space="0" w:color="auto"/>
            </w:tcBorders>
            <w:shd w:val="clear" w:color="FFFFFF" w:fill="FFFFFF"/>
            <w:vAlign w:val="center"/>
          </w:tcPr>
          <w:p w14:paraId="0F3E9B32" w14:textId="77777777" w:rsidR="00AB0B6E" w:rsidRDefault="00AB0B6E">
            <w:pPr>
              <w:jc w:val="center"/>
              <w:rPr>
                <w:rFonts w:ascii="宋体" w:eastAsia="宋体" w:hAnsi="宋体" w:cs="宋体" w:hint="eastAsia"/>
                <w:sz w:val="18"/>
                <w:szCs w:val="21"/>
              </w:rPr>
            </w:pPr>
          </w:p>
        </w:tc>
        <w:tc>
          <w:tcPr>
            <w:tcW w:w="1476" w:type="dxa"/>
            <w:shd w:val="clear" w:color="FFFFFF" w:fill="FFFFFF"/>
            <w:vAlign w:val="center"/>
          </w:tcPr>
          <w:p w14:paraId="6FD4752C"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桩端面倾斜</w:t>
            </w:r>
          </w:p>
        </w:tc>
        <w:tc>
          <w:tcPr>
            <w:tcW w:w="2376" w:type="dxa"/>
            <w:tcBorders>
              <w:right w:val="single" w:sz="8" w:space="0" w:color="auto"/>
            </w:tcBorders>
            <w:shd w:val="clear" w:color="FFFFFF" w:fill="FFFFFF"/>
            <w:vAlign w:val="center"/>
          </w:tcPr>
          <w:p w14:paraId="44A0190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≤0.0</w:t>
            </w:r>
            <w:r>
              <w:rPr>
                <w:rFonts w:ascii="宋体" w:eastAsia="宋体" w:hAnsi="宋体" w:cs="宋体"/>
                <w:sz w:val="18"/>
                <w:szCs w:val="21"/>
              </w:rPr>
              <w:t>0</w:t>
            </w:r>
            <w:r>
              <w:rPr>
                <w:rFonts w:ascii="宋体" w:eastAsia="宋体" w:hAnsi="宋体" w:cs="宋体" w:hint="eastAsia"/>
                <w:sz w:val="18"/>
                <w:szCs w:val="21"/>
              </w:rPr>
              <w:t>5mm</w:t>
            </w:r>
          </w:p>
        </w:tc>
      </w:tr>
      <w:tr w:rsidR="00AB0B6E" w14:paraId="3C86D800" w14:textId="77777777">
        <w:trPr>
          <w:jc w:val="center"/>
        </w:trPr>
        <w:tc>
          <w:tcPr>
            <w:tcW w:w="756" w:type="dxa"/>
            <w:vMerge/>
            <w:tcBorders>
              <w:left w:val="single" w:sz="8" w:space="0" w:color="auto"/>
              <w:bottom w:val="single" w:sz="8" w:space="0" w:color="auto"/>
            </w:tcBorders>
            <w:shd w:val="clear" w:color="FFFFFF" w:fill="FFFFFF"/>
            <w:vAlign w:val="center"/>
          </w:tcPr>
          <w:p w14:paraId="4866CFA7" w14:textId="77777777" w:rsidR="00AB0B6E" w:rsidRDefault="00AB0B6E">
            <w:pPr>
              <w:jc w:val="center"/>
              <w:rPr>
                <w:rFonts w:ascii="宋体" w:eastAsia="宋体" w:hAnsi="宋体" w:cs="宋体" w:hint="eastAsia"/>
                <w:sz w:val="18"/>
                <w:szCs w:val="21"/>
              </w:rPr>
            </w:pPr>
          </w:p>
        </w:tc>
        <w:tc>
          <w:tcPr>
            <w:tcW w:w="1476" w:type="dxa"/>
            <w:tcBorders>
              <w:bottom w:val="single" w:sz="8" w:space="0" w:color="auto"/>
            </w:tcBorders>
            <w:shd w:val="clear" w:color="FFFFFF" w:fill="FFFFFF"/>
            <w:vAlign w:val="center"/>
          </w:tcPr>
          <w:p w14:paraId="2B39030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桩节长度</w:t>
            </w:r>
          </w:p>
        </w:tc>
        <w:tc>
          <w:tcPr>
            <w:tcW w:w="2376" w:type="dxa"/>
            <w:tcBorders>
              <w:bottom w:val="single" w:sz="8" w:space="0" w:color="auto"/>
              <w:right w:val="single" w:sz="8" w:space="0" w:color="auto"/>
            </w:tcBorders>
            <w:shd w:val="clear" w:color="FFFFFF" w:fill="FFFFFF"/>
            <w:vAlign w:val="center"/>
          </w:tcPr>
          <w:p w14:paraId="4535D05A"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±20mm</w:t>
            </w:r>
          </w:p>
        </w:tc>
      </w:tr>
    </w:tbl>
    <w:p w14:paraId="1C194088" w14:textId="77777777" w:rsidR="00AB0B6E" w:rsidRDefault="00000000">
      <w:pPr>
        <w:pStyle w:val="affffffe"/>
        <w:outlineLvl w:val="1"/>
      </w:pPr>
      <w:bookmarkStart w:id="111" w:name="_Toc186552234"/>
      <w:bookmarkStart w:id="112" w:name="_Toc167012722"/>
      <w:r>
        <w:rPr>
          <w:rFonts w:hint="eastAsia"/>
        </w:rPr>
        <w:t>送桩施工验收</w:t>
      </w:r>
      <w:bookmarkEnd w:id="111"/>
      <w:bookmarkEnd w:id="112"/>
    </w:p>
    <w:p w14:paraId="0FCD74A8" w14:textId="77777777" w:rsidR="00AB0B6E" w:rsidRDefault="00000000">
      <w:pPr>
        <w:pStyle w:val="a6"/>
      </w:pPr>
      <w:proofErr w:type="gramStart"/>
      <w:r>
        <w:rPr>
          <w:rFonts w:hint="eastAsia"/>
        </w:rPr>
        <w:t>当桩顶设计标高</w:t>
      </w:r>
      <w:proofErr w:type="gramEnd"/>
      <w:r>
        <w:rPr>
          <w:rFonts w:hint="eastAsia"/>
        </w:rPr>
        <w:t>与施工场地标高相近时，预制桩的验收应在预制桩施工完毕后进行；</w:t>
      </w:r>
      <w:proofErr w:type="gramStart"/>
      <w:r>
        <w:rPr>
          <w:rFonts w:hint="eastAsia"/>
        </w:rPr>
        <w:t>当桩顶设计标高</w:t>
      </w:r>
      <w:proofErr w:type="gramEnd"/>
      <w:r>
        <w:rPr>
          <w:rFonts w:hint="eastAsia"/>
        </w:rPr>
        <w:t>低于施工场地标高时，应在开挖到设计标高后进行验收。</w:t>
      </w:r>
    </w:p>
    <w:p w14:paraId="5800FCF0" w14:textId="77777777" w:rsidR="00AB0B6E" w:rsidRDefault="00000000">
      <w:pPr>
        <w:pStyle w:val="a6"/>
      </w:pPr>
      <w:r>
        <w:rPr>
          <w:rFonts w:hint="eastAsia"/>
        </w:rPr>
        <w:lastRenderedPageBreak/>
        <w:t>预制桩验收除应符合J</w:t>
      </w:r>
      <w:r>
        <w:t>GJ 94</w:t>
      </w:r>
      <w:r>
        <w:rPr>
          <w:rFonts w:hint="eastAsia"/>
        </w:rPr>
        <w:t>的规定以外，还应将预制桩的施工偏差列为主控项目，水泥土性能检测列为一般项目。</w:t>
      </w:r>
    </w:p>
    <w:p w14:paraId="38F46DF6" w14:textId="77777777" w:rsidR="00AB0B6E" w:rsidRDefault="00000000">
      <w:pPr>
        <w:pStyle w:val="a6"/>
      </w:pPr>
      <w:r>
        <w:rPr>
          <w:rFonts w:hint="eastAsia"/>
        </w:rPr>
        <w:t>预制桩的施工偏差应按表6的要求，全数检查：</w:t>
      </w:r>
    </w:p>
    <w:p w14:paraId="142B49FD" w14:textId="77777777" w:rsidR="00AB0B6E" w:rsidRDefault="00000000">
      <w:pPr>
        <w:pStyle w:val="af7"/>
        <w:spacing w:before="156" w:after="156"/>
      </w:pPr>
      <w:r>
        <w:rPr>
          <w:rFonts w:hint="eastAsia"/>
        </w:rPr>
        <w:t>预制桩的施工允许偏差</w:t>
      </w:r>
    </w:p>
    <w:tbl>
      <w:tblPr>
        <w:tblW w:w="492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6"/>
        <w:gridCol w:w="3051"/>
        <w:gridCol w:w="1296"/>
      </w:tblGrid>
      <w:tr w:rsidR="00AB0B6E" w14:paraId="77F04956" w14:textId="77777777">
        <w:trPr>
          <w:jc w:val="center"/>
        </w:trPr>
        <w:tc>
          <w:tcPr>
            <w:tcW w:w="576" w:type="dxa"/>
            <w:tcBorders>
              <w:top w:val="single" w:sz="8" w:space="0" w:color="auto"/>
              <w:left w:val="single" w:sz="8" w:space="0" w:color="auto"/>
              <w:bottom w:val="single" w:sz="8" w:space="0" w:color="auto"/>
            </w:tcBorders>
            <w:vAlign w:val="center"/>
          </w:tcPr>
          <w:p w14:paraId="5BC23DA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序号</w:t>
            </w:r>
          </w:p>
        </w:tc>
        <w:tc>
          <w:tcPr>
            <w:tcW w:w="3051" w:type="dxa"/>
            <w:tcBorders>
              <w:top w:val="single" w:sz="8" w:space="0" w:color="auto"/>
              <w:bottom w:val="single" w:sz="8" w:space="0" w:color="auto"/>
            </w:tcBorders>
            <w:vAlign w:val="center"/>
          </w:tcPr>
          <w:p w14:paraId="45C45290"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项目</w:t>
            </w:r>
          </w:p>
        </w:tc>
        <w:tc>
          <w:tcPr>
            <w:tcW w:w="1296" w:type="dxa"/>
            <w:tcBorders>
              <w:top w:val="single" w:sz="8" w:space="0" w:color="auto"/>
              <w:bottom w:val="single" w:sz="8" w:space="0" w:color="auto"/>
              <w:right w:val="single" w:sz="8" w:space="0" w:color="auto"/>
            </w:tcBorders>
            <w:vAlign w:val="center"/>
          </w:tcPr>
          <w:p w14:paraId="17A033CF"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允许偏差</w:t>
            </w:r>
          </w:p>
        </w:tc>
      </w:tr>
      <w:tr w:rsidR="00AB0B6E" w14:paraId="7E89D66C" w14:textId="77777777">
        <w:trPr>
          <w:jc w:val="center"/>
        </w:trPr>
        <w:tc>
          <w:tcPr>
            <w:tcW w:w="576" w:type="dxa"/>
            <w:tcBorders>
              <w:top w:val="single" w:sz="8" w:space="0" w:color="auto"/>
              <w:left w:val="single" w:sz="8" w:space="0" w:color="auto"/>
              <w:bottom w:val="single" w:sz="4" w:space="0" w:color="auto"/>
            </w:tcBorders>
            <w:vAlign w:val="center"/>
          </w:tcPr>
          <w:p w14:paraId="583A70D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w:t>
            </w:r>
          </w:p>
        </w:tc>
        <w:tc>
          <w:tcPr>
            <w:tcW w:w="3051" w:type="dxa"/>
            <w:tcBorders>
              <w:top w:val="single" w:sz="8" w:space="0" w:color="auto"/>
              <w:bottom w:val="single" w:sz="4" w:space="0" w:color="auto"/>
            </w:tcBorders>
            <w:vAlign w:val="center"/>
          </w:tcPr>
          <w:p w14:paraId="5507A0AD"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桩位的平面位置</w:t>
            </w:r>
          </w:p>
        </w:tc>
        <w:tc>
          <w:tcPr>
            <w:tcW w:w="1296" w:type="dxa"/>
            <w:tcBorders>
              <w:top w:val="single" w:sz="8" w:space="0" w:color="auto"/>
              <w:bottom w:val="single" w:sz="4" w:space="0" w:color="auto"/>
              <w:right w:val="single" w:sz="8" w:space="0" w:color="auto"/>
            </w:tcBorders>
            <w:vAlign w:val="center"/>
          </w:tcPr>
          <w:p w14:paraId="20ABEC02"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±10mm</w:t>
            </w:r>
          </w:p>
        </w:tc>
      </w:tr>
      <w:tr w:rsidR="00AB0B6E" w14:paraId="69E6544C" w14:textId="77777777">
        <w:trPr>
          <w:jc w:val="center"/>
        </w:trPr>
        <w:tc>
          <w:tcPr>
            <w:tcW w:w="576" w:type="dxa"/>
            <w:tcBorders>
              <w:top w:val="single" w:sz="4" w:space="0" w:color="auto"/>
              <w:left w:val="single" w:sz="8" w:space="0" w:color="auto"/>
              <w:bottom w:val="single" w:sz="4" w:space="0" w:color="auto"/>
            </w:tcBorders>
            <w:vAlign w:val="center"/>
          </w:tcPr>
          <w:p w14:paraId="08F3FB4D"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w:t>
            </w:r>
          </w:p>
        </w:tc>
        <w:tc>
          <w:tcPr>
            <w:tcW w:w="3051" w:type="dxa"/>
            <w:tcBorders>
              <w:top w:val="single" w:sz="4" w:space="0" w:color="auto"/>
              <w:bottom w:val="single" w:sz="4" w:space="0" w:color="auto"/>
            </w:tcBorders>
            <w:vAlign w:val="center"/>
          </w:tcPr>
          <w:p w14:paraId="12FC7B70" w14:textId="77777777" w:rsidR="00AB0B6E" w:rsidRDefault="00000000">
            <w:pPr>
              <w:jc w:val="center"/>
              <w:rPr>
                <w:rFonts w:ascii="宋体" w:eastAsia="宋体" w:hAnsi="宋体" w:cs="宋体" w:hint="eastAsia"/>
                <w:sz w:val="18"/>
                <w:szCs w:val="21"/>
              </w:rPr>
            </w:pPr>
            <w:proofErr w:type="gramStart"/>
            <w:r>
              <w:rPr>
                <w:rFonts w:ascii="宋体" w:eastAsia="宋体" w:hAnsi="宋体" w:cs="宋体" w:hint="eastAsia"/>
                <w:sz w:val="18"/>
                <w:szCs w:val="21"/>
              </w:rPr>
              <w:t>桩顶的</w:t>
            </w:r>
            <w:proofErr w:type="gramEnd"/>
            <w:r>
              <w:rPr>
                <w:rFonts w:ascii="宋体" w:eastAsia="宋体" w:hAnsi="宋体" w:cs="宋体" w:hint="eastAsia"/>
                <w:sz w:val="18"/>
                <w:szCs w:val="21"/>
              </w:rPr>
              <w:t>高程</w:t>
            </w:r>
          </w:p>
        </w:tc>
        <w:tc>
          <w:tcPr>
            <w:tcW w:w="1296" w:type="dxa"/>
            <w:tcBorders>
              <w:top w:val="single" w:sz="4" w:space="0" w:color="auto"/>
              <w:bottom w:val="single" w:sz="4" w:space="0" w:color="auto"/>
              <w:right w:val="single" w:sz="8" w:space="0" w:color="auto"/>
            </w:tcBorders>
            <w:vAlign w:val="center"/>
          </w:tcPr>
          <w:p w14:paraId="7B182F95"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（-3 h,+ h）</w:t>
            </w:r>
          </w:p>
        </w:tc>
      </w:tr>
      <w:tr w:rsidR="00AB0B6E" w14:paraId="45D87EA5" w14:textId="77777777">
        <w:trPr>
          <w:jc w:val="center"/>
        </w:trPr>
        <w:tc>
          <w:tcPr>
            <w:tcW w:w="576" w:type="dxa"/>
            <w:tcBorders>
              <w:top w:val="single" w:sz="4" w:space="0" w:color="auto"/>
              <w:left w:val="single" w:sz="8" w:space="0" w:color="auto"/>
              <w:bottom w:val="single" w:sz="4" w:space="0" w:color="auto"/>
            </w:tcBorders>
            <w:vAlign w:val="center"/>
          </w:tcPr>
          <w:p w14:paraId="443CDA7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3</w:t>
            </w:r>
          </w:p>
        </w:tc>
        <w:tc>
          <w:tcPr>
            <w:tcW w:w="3051" w:type="dxa"/>
            <w:tcBorders>
              <w:top w:val="single" w:sz="4" w:space="0" w:color="auto"/>
              <w:bottom w:val="single" w:sz="4" w:space="0" w:color="auto"/>
            </w:tcBorders>
            <w:vAlign w:val="center"/>
          </w:tcPr>
          <w:p w14:paraId="6D963F40"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桩身垂直度</w:t>
            </w:r>
          </w:p>
        </w:tc>
        <w:tc>
          <w:tcPr>
            <w:tcW w:w="1296" w:type="dxa"/>
            <w:tcBorders>
              <w:top w:val="single" w:sz="4" w:space="0" w:color="auto"/>
              <w:bottom w:val="single" w:sz="4" w:space="0" w:color="auto"/>
              <w:right w:val="single" w:sz="8" w:space="0" w:color="auto"/>
            </w:tcBorders>
            <w:vAlign w:val="center"/>
          </w:tcPr>
          <w:p w14:paraId="38057EA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≤1/200</w:t>
            </w:r>
          </w:p>
        </w:tc>
      </w:tr>
      <w:tr w:rsidR="00AB0B6E" w14:paraId="3A87351D" w14:textId="77777777">
        <w:trPr>
          <w:jc w:val="center"/>
        </w:trPr>
        <w:tc>
          <w:tcPr>
            <w:tcW w:w="4923" w:type="dxa"/>
            <w:gridSpan w:val="3"/>
            <w:tcBorders>
              <w:top w:val="single" w:sz="4" w:space="0" w:color="auto"/>
              <w:left w:val="single" w:sz="8" w:space="0" w:color="auto"/>
              <w:bottom w:val="single" w:sz="8" w:space="0" w:color="auto"/>
              <w:right w:val="single" w:sz="8" w:space="0" w:color="auto"/>
            </w:tcBorders>
            <w:vAlign w:val="center"/>
          </w:tcPr>
          <w:p w14:paraId="1D7F5FB4" w14:textId="77777777" w:rsidR="00AB0B6E" w:rsidRDefault="00000000">
            <w:pPr>
              <w:jc w:val="left"/>
              <w:rPr>
                <w:rFonts w:ascii="宋体" w:eastAsia="宋体" w:hAnsi="宋体" w:cs="宋体" w:hint="eastAsia"/>
                <w:sz w:val="18"/>
                <w:szCs w:val="21"/>
              </w:rPr>
            </w:pPr>
            <w:r>
              <w:rPr>
                <w:rFonts w:ascii="宋体" w:eastAsia="宋体" w:hAnsi="宋体" w:cs="宋体" w:hint="eastAsia"/>
                <w:sz w:val="18"/>
                <w:szCs w:val="21"/>
              </w:rPr>
              <w:t>注：h为桩顶梁保护层厚度。</w:t>
            </w:r>
          </w:p>
        </w:tc>
      </w:tr>
    </w:tbl>
    <w:p w14:paraId="700D6044" w14:textId="77777777" w:rsidR="00AB0B6E" w:rsidRDefault="00000000">
      <w:pPr>
        <w:pStyle w:val="a6"/>
      </w:pPr>
      <w:r>
        <w:rPr>
          <w:rFonts w:hint="eastAsia"/>
        </w:rPr>
        <w:t>水泥土性能检测应按表7的要求，并应符合下列规定：</w:t>
      </w:r>
    </w:p>
    <w:p w14:paraId="4C32FC86" w14:textId="77777777" w:rsidR="00AB0B6E" w:rsidRDefault="00000000">
      <w:pPr>
        <w:pStyle w:val="ac"/>
      </w:pPr>
      <w:r>
        <w:t>试桩及水泥土试配全</w:t>
      </w:r>
      <w:r>
        <w:rPr>
          <w:rFonts w:hint="eastAsia"/>
        </w:rPr>
        <w:t>数</w:t>
      </w:r>
      <w:r>
        <w:t>进行</w:t>
      </w:r>
      <w:r>
        <w:rPr>
          <w:rFonts w:hint="eastAsia"/>
        </w:rPr>
        <w:t>性能检测；</w:t>
      </w:r>
    </w:p>
    <w:p w14:paraId="5B0E8934" w14:textId="77777777" w:rsidR="00AB0B6E" w:rsidRDefault="00000000">
      <w:pPr>
        <w:pStyle w:val="ac"/>
      </w:pPr>
      <w:r>
        <w:rPr>
          <w:rFonts w:hint="eastAsia"/>
        </w:rPr>
        <w:t>水泥土的拓展度全数进行现场检测；</w:t>
      </w:r>
    </w:p>
    <w:p w14:paraId="57B278A4" w14:textId="77777777" w:rsidR="00AB0B6E" w:rsidRDefault="00000000">
      <w:pPr>
        <w:pStyle w:val="ac"/>
      </w:pPr>
      <w:r>
        <w:rPr>
          <w:rFonts w:hint="eastAsia"/>
        </w:rPr>
        <w:t>水泥土的凝结时间、强度和抗渗性，不超过100根为一批，每批抽查批量的6%</w:t>
      </w:r>
      <w:r>
        <w:t>，且不少于6根。</w:t>
      </w:r>
    </w:p>
    <w:p w14:paraId="74CB02DE" w14:textId="77777777" w:rsidR="00AB0B6E" w:rsidRDefault="00000000">
      <w:pPr>
        <w:pStyle w:val="af7"/>
        <w:spacing w:before="156" w:after="156"/>
      </w:pPr>
      <w:r>
        <w:rPr>
          <w:rFonts w:hint="eastAsia"/>
        </w:rPr>
        <w:t>水泥土的性能指标允许偏差</w:t>
      </w:r>
    </w:p>
    <w:tbl>
      <w:tblPr>
        <w:tblW w:w="393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6"/>
        <w:gridCol w:w="1881"/>
        <w:gridCol w:w="1476"/>
      </w:tblGrid>
      <w:tr w:rsidR="00AB0B6E" w14:paraId="32C52D82" w14:textId="77777777">
        <w:trPr>
          <w:jc w:val="center"/>
        </w:trPr>
        <w:tc>
          <w:tcPr>
            <w:tcW w:w="576" w:type="dxa"/>
            <w:tcBorders>
              <w:top w:val="single" w:sz="8" w:space="0" w:color="auto"/>
              <w:left w:val="single" w:sz="8" w:space="0" w:color="auto"/>
              <w:bottom w:val="single" w:sz="8" w:space="0" w:color="auto"/>
            </w:tcBorders>
            <w:vAlign w:val="center"/>
          </w:tcPr>
          <w:p w14:paraId="2B39EFF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序号</w:t>
            </w:r>
          </w:p>
        </w:tc>
        <w:tc>
          <w:tcPr>
            <w:tcW w:w="1881" w:type="dxa"/>
            <w:tcBorders>
              <w:top w:val="single" w:sz="8" w:space="0" w:color="auto"/>
              <w:bottom w:val="single" w:sz="8" w:space="0" w:color="auto"/>
            </w:tcBorders>
            <w:vAlign w:val="center"/>
          </w:tcPr>
          <w:p w14:paraId="68B6BC9A"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项目</w:t>
            </w:r>
          </w:p>
        </w:tc>
        <w:tc>
          <w:tcPr>
            <w:tcW w:w="1476" w:type="dxa"/>
            <w:tcBorders>
              <w:top w:val="single" w:sz="8" w:space="0" w:color="auto"/>
              <w:bottom w:val="single" w:sz="8" w:space="0" w:color="auto"/>
              <w:right w:val="single" w:sz="8" w:space="0" w:color="auto"/>
            </w:tcBorders>
            <w:vAlign w:val="center"/>
          </w:tcPr>
          <w:p w14:paraId="456E47CC"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允许偏差</w:t>
            </w:r>
          </w:p>
        </w:tc>
      </w:tr>
      <w:tr w:rsidR="00AB0B6E" w14:paraId="4927EF97" w14:textId="77777777">
        <w:trPr>
          <w:jc w:val="center"/>
        </w:trPr>
        <w:tc>
          <w:tcPr>
            <w:tcW w:w="576" w:type="dxa"/>
            <w:tcBorders>
              <w:top w:val="single" w:sz="8" w:space="0" w:color="auto"/>
              <w:left w:val="single" w:sz="8" w:space="0" w:color="auto"/>
              <w:bottom w:val="single" w:sz="4" w:space="0" w:color="auto"/>
            </w:tcBorders>
            <w:vAlign w:val="center"/>
          </w:tcPr>
          <w:p w14:paraId="516FAA3E"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w:t>
            </w:r>
          </w:p>
        </w:tc>
        <w:tc>
          <w:tcPr>
            <w:tcW w:w="1881" w:type="dxa"/>
            <w:tcBorders>
              <w:top w:val="single" w:sz="8" w:space="0" w:color="auto"/>
              <w:bottom w:val="single" w:sz="4" w:space="0" w:color="auto"/>
            </w:tcBorders>
            <w:vAlign w:val="center"/>
          </w:tcPr>
          <w:p w14:paraId="43E2FA7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28</w:t>
            </w:r>
            <w:r>
              <w:rPr>
                <w:rFonts w:ascii="宋体" w:eastAsia="宋体" w:hAnsi="宋体" w:cs="宋体" w:hint="eastAsia"/>
                <w:sz w:val="18"/>
                <w:szCs w:val="21"/>
              </w:rPr>
              <w:t>d</w:t>
            </w:r>
            <w:r>
              <w:rPr>
                <w:rFonts w:ascii="宋体" w:eastAsia="宋体" w:hAnsi="宋体" w:cs="宋体" w:hint="eastAsia"/>
                <w:sz w:val="18"/>
                <w:szCs w:val="21"/>
              </w:rPr>
              <w:t>无侧限抗压强度</w:t>
            </w:r>
          </w:p>
        </w:tc>
        <w:tc>
          <w:tcPr>
            <w:tcW w:w="1476" w:type="dxa"/>
            <w:tcBorders>
              <w:top w:val="single" w:sz="8" w:space="0" w:color="auto"/>
              <w:bottom w:val="single" w:sz="4" w:space="0" w:color="auto"/>
              <w:right w:val="single" w:sz="8" w:space="0" w:color="auto"/>
            </w:tcBorders>
            <w:vAlign w:val="center"/>
          </w:tcPr>
          <w:p w14:paraId="75AEACCB"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 MPa</w:t>
            </w:r>
          </w:p>
        </w:tc>
      </w:tr>
      <w:tr w:rsidR="00AB0B6E" w14:paraId="4F7D9100" w14:textId="77777777">
        <w:trPr>
          <w:jc w:val="center"/>
        </w:trPr>
        <w:tc>
          <w:tcPr>
            <w:tcW w:w="576" w:type="dxa"/>
            <w:tcBorders>
              <w:top w:val="single" w:sz="4" w:space="0" w:color="auto"/>
              <w:left w:val="single" w:sz="8" w:space="0" w:color="auto"/>
              <w:bottom w:val="single" w:sz="4" w:space="0" w:color="auto"/>
            </w:tcBorders>
            <w:vAlign w:val="center"/>
          </w:tcPr>
          <w:p w14:paraId="1C1F59D6"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w:t>
            </w:r>
          </w:p>
        </w:tc>
        <w:tc>
          <w:tcPr>
            <w:tcW w:w="1881" w:type="dxa"/>
            <w:tcBorders>
              <w:top w:val="single" w:sz="4" w:space="0" w:color="auto"/>
              <w:bottom w:val="single" w:sz="4" w:space="0" w:color="auto"/>
            </w:tcBorders>
            <w:vAlign w:val="center"/>
          </w:tcPr>
          <w:p w14:paraId="79C62262"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抗渗系数</w:t>
            </w:r>
          </w:p>
        </w:tc>
        <w:tc>
          <w:tcPr>
            <w:tcW w:w="1476" w:type="dxa"/>
            <w:tcBorders>
              <w:top w:val="single" w:sz="4" w:space="0" w:color="auto"/>
              <w:bottom w:val="single" w:sz="4" w:space="0" w:color="auto"/>
              <w:right w:val="single" w:sz="8" w:space="0" w:color="auto"/>
            </w:tcBorders>
            <w:vAlign w:val="center"/>
          </w:tcPr>
          <w:p w14:paraId="4121F9EB"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w:t>
            </w:r>
            <w:r>
              <w:rPr>
                <w:rFonts w:ascii="宋体" w:eastAsia="宋体" w:hAnsi="宋体" w:cs="宋体"/>
                <w:sz w:val="18"/>
                <w:szCs w:val="21"/>
              </w:rPr>
              <w:t>10</w:t>
            </w:r>
            <w:r>
              <w:rPr>
                <w:rFonts w:ascii="宋体" w:eastAsia="宋体" w:hAnsi="宋体" w:cs="宋体"/>
                <w:sz w:val="18"/>
                <w:szCs w:val="21"/>
                <w:vertAlign w:val="superscript"/>
              </w:rPr>
              <w:t>-6</w:t>
            </w:r>
            <w:r>
              <w:rPr>
                <w:rFonts w:ascii="宋体" w:eastAsia="宋体" w:hAnsi="宋体" w:cs="宋体"/>
                <w:sz w:val="18"/>
                <w:szCs w:val="21"/>
              </w:rPr>
              <w:t xml:space="preserve"> cm/s</w:t>
            </w:r>
          </w:p>
        </w:tc>
      </w:tr>
      <w:tr w:rsidR="00AB0B6E" w14:paraId="3307BFEC" w14:textId="77777777">
        <w:trPr>
          <w:jc w:val="center"/>
        </w:trPr>
        <w:tc>
          <w:tcPr>
            <w:tcW w:w="576" w:type="dxa"/>
            <w:tcBorders>
              <w:top w:val="single" w:sz="4" w:space="0" w:color="auto"/>
              <w:left w:val="single" w:sz="8" w:space="0" w:color="auto"/>
              <w:bottom w:val="single" w:sz="4" w:space="0" w:color="auto"/>
            </w:tcBorders>
            <w:vAlign w:val="center"/>
          </w:tcPr>
          <w:p w14:paraId="1F3084AB"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3</w:t>
            </w:r>
          </w:p>
        </w:tc>
        <w:tc>
          <w:tcPr>
            <w:tcW w:w="1881" w:type="dxa"/>
            <w:tcBorders>
              <w:top w:val="single" w:sz="4" w:space="0" w:color="auto"/>
              <w:bottom w:val="single" w:sz="4" w:space="0" w:color="auto"/>
            </w:tcBorders>
            <w:vAlign w:val="center"/>
          </w:tcPr>
          <w:p w14:paraId="235E5B88"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凝结时间</w:t>
            </w:r>
          </w:p>
        </w:tc>
        <w:tc>
          <w:tcPr>
            <w:tcW w:w="1476" w:type="dxa"/>
            <w:tcBorders>
              <w:top w:val="single" w:sz="4" w:space="0" w:color="auto"/>
              <w:bottom w:val="single" w:sz="4" w:space="0" w:color="auto"/>
              <w:right w:val="single" w:sz="8" w:space="0" w:color="auto"/>
            </w:tcBorders>
            <w:vAlign w:val="center"/>
          </w:tcPr>
          <w:p w14:paraId="75EA27DA"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（2,6）h</w:t>
            </w:r>
          </w:p>
        </w:tc>
      </w:tr>
      <w:tr w:rsidR="00AB0B6E" w14:paraId="3F8D4F7A" w14:textId="77777777">
        <w:trPr>
          <w:jc w:val="center"/>
        </w:trPr>
        <w:tc>
          <w:tcPr>
            <w:tcW w:w="576" w:type="dxa"/>
            <w:tcBorders>
              <w:top w:val="single" w:sz="4" w:space="0" w:color="auto"/>
              <w:left w:val="single" w:sz="8" w:space="0" w:color="auto"/>
              <w:bottom w:val="single" w:sz="8" w:space="0" w:color="auto"/>
            </w:tcBorders>
            <w:vAlign w:val="center"/>
          </w:tcPr>
          <w:p w14:paraId="4B5A7F99"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4</w:t>
            </w:r>
          </w:p>
        </w:tc>
        <w:tc>
          <w:tcPr>
            <w:tcW w:w="1881" w:type="dxa"/>
            <w:tcBorders>
              <w:top w:val="single" w:sz="4" w:space="0" w:color="auto"/>
              <w:bottom w:val="single" w:sz="8" w:space="0" w:color="auto"/>
            </w:tcBorders>
            <w:vAlign w:val="center"/>
          </w:tcPr>
          <w:p w14:paraId="69DDF9A1"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扩展度</w:t>
            </w:r>
          </w:p>
        </w:tc>
        <w:tc>
          <w:tcPr>
            <w:tcW w:w="1476" w:type="dxa"/>
            <w:tcBorders>
              <w:top w:val="single" w:sz="4" w:space="0" w:color="auto"/>
              <w:bottom w:val="single" w:sz="8" w:space="0" w:color="auto"/>
              <w:right w:val="single" w:sz="8" w:space="0" w:color="auto"/>
            </w:tcBorders>
            <w:vAlign w:val="center"/>
          </w:tcPr>
          <w:p w14:paraId="03BE88A8" w14:textId="77777777" w:rsidR="00AB0B6E" w:rsidRDefault="00000000">
            <w:pPr>
              <w:jc w:val="center"/>
              <w:rPr>
                <w:rFonts w:ascii="宋体" w:eastAsia="宋体" w:hAnsi="宋体" w:cs="宋体" w:hint="eastAsia"/>
                <w:sz w:val="18"/>
                <w:szCs w:val="21"/>
              </w:rPr>
            </w:pPr>
            <w:r>
              <w:rPr>
                <w:rFonts w:ascii="宋体" w:eastAsia="宋体" w:hAnsi="宋体" w:cs="宋体" w:hint="eastAsia"/>
                <w:sz w:val="18"/>
                <w:szCs w:val="21"/>
              </w:rPr>
              <w:t>（160，200）mm</w:t>
            </w:r>
          </w:p>
        </w:tc>
      </w:tr>
    </w:tbl>
    <w:p w14:paraId="2B2EC8DF" w14:textId="77777777" w:rsidR="00AB0B6E" w:rsidRDefault="00000000">
      <w:pPr>
        <w:pStyle w:val="affffffe"/>
        <w:outlineLvl w:val="1"/>
      </w:pPr>
      <w:bookmarkStart w:id="113" w:name="_Toc167012723"/>
      <w:bookmarkStart w:id="114" w:name="_Toc186552235"/>
      <w:r>
        <w:rPr>
          <w:rFonts w:hint="eastAsia"/>
        </w:rPr>
        <w:t>叠合墙施工验收</w:t>
      </w:r>
      <w:bookmarkEnd w:id="113"/>
      <w:bookmarkEnd w:id="114"/>
    </w:p>
    <w:p w14:paraId="3CDCECC7" w14:textId="77777777" w:rsidR="00AB0B6E" w:rsidRDefault="00000000">
      <w:pPr>
        <w:pStyle w:val="a6"/>
      </w:pPr>
      <w:r>
        <w:rPr>
          <w:rFonts w:hint="eastAsia"/>
        </w:rPr>
        <w:t>预制桩与主体结构侧墙叠合浇筑混凝土之前，按照GB 50204的规定进行隐蔽工程验收。隐蔽工程主控项目应包括叠合面质量、钢筋连接方式及防水措施。</w:t>
      </w:r>
    </w:p>
    <w:p w14:paraId="02745900" w14:textId="77777777" w:rsidR="00AB0B6E" w:rsidRDefault="00000000">
      <w:pPr>
        <w:pStyle w:val="a6"/>
      </w:pPr>
      <w:r>
        <w:rPr>
          <w:rFonts w:hint="eastAsia"/>
        </w:rPr>
        <w:t>按照GB 50204和GB 50666的规定对模板、钢筋和混凝土的施工情况进行验收。</w:t>
      </w:r>
    </w:p>
    <w:p w14:paraId="44870C26" w14:textId="77777777" w:rsidR="00AB0B6E" w:rsidRDefault="00AB0B6E">
      <w:pPr>
        <w:pStyle w:val="ac"/>
        <w:numPr>
          <w:ilvl w:val="0"/>
          <w:numId w:val="0"/>
        </w:numPr>
        <w:ind w:left="425"/>
      </w:pPr>
    </w:p>
    <w:p w14:paraId="0BE9DBA9" w14:textId="77777777" w:rsidR="00AB0B6E" w:rsidRDefault="00000000">
      <w:pPr>
        <w:pStyle w:val="afffffff6"/>
        <w:ind w:firstLineChars="0" w:firstLine="0"/>
        <w:rPr>
          <w:rFonts w:ascii="Times New Roman"/>
          <w:color w:val="000000" w:themeColor="text1"/>
          <w:lang w:eastAsia="zh-CN"/>
        </w:rPr>
      </w:pPr>
      <w:r>
        <w:rPr>
          <w:rFonts w:ascii="Times New Roman"/>
          <w:noProof/>
          <w:color w:val="000000" w:themeColor="text1"/>
          <w:lang w:eastAsia="zh-CN"/>
        </w:rPr>
        <mc:AlternateContent>
          <mc:Choice Requires="wps">
            <w:drawing>
              <wp:anchor distT="0" distB="0" distL="114300" distR="114300" simplePos="0" relativeHeight="251665408" behindDoc="0" locked="0" layoutInCell="1" allowOverlap="1" wp14:anchorId="08C5356B" wp14:editId="109F0AE9">
                <wp:simplePos x="0" y="0"/>
                <wp:positionH relativeFrom="column">
                  <wp:posOffset>2138680</wp:posOffset>
                </wp:positionH>
                <wp:positionV relativeFrom="paragraph">
                  <wp:posOffset>62865</wp:posOffset>
                </wp:positionV>
                <wp:extent cx="1529715" cy="7620"/>
                <wp:effectExtent l="0" t="0" r="32385" b="30480"/>
                <wp:wrapNone/>
                <wp:docPr id="3" name="直接连接符 3"/>
                <wp:cNvGraphicFramePr/>
                <a:graphic xmlns:a="http://schemas.openxmlformats.org/drawingml/2006/main">
                  <a:graphicData uri="http://schemas.microsoft.com/office/word/2010/wordprocessingShape">
                    <wps:wsp>
                      <wps:cNvCnPr/>
                      <wps:spPr>
                        <a:xfrm flipV="1">
                          <a:off x="0" y="0"/>
                          <a:ext cx="1530000" cy="762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w:pict>
              <v:line id="_x0000_s1026" o:spid="_x0000_s1026" o:spt="20" style="position:absolute;left:0pt;flip:y;margin-left:168.4pt;margin-top:4.95pt;height:0.6pt;width:120.45pt;z-index:251665408;mso-width-relative:page;mso-height-relative:page;" filled="f" stroked="t" coordsize="21600,21600" o:gfxdata="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AoD8F2AAAAAgBAAAPAAAAAAAAAAEAIAAAACIAAABkcnMvZG93bnJldi54&#10;bWxQSwECFAAUAAAACACHTuJAxlexZPoBAAD0AwAADgAAAAAAAAABACAAAAAnAQAAZHJzL2Uyb0Rv&#10;Yy54bWxQSwUGAAAAAAYABgBZAQAAkwUAAAAA&#10;">
                <v:fill on="f" focussize="0,0"/>
                <v:stroke weight="1pt" color="#000000" joinstyle="round"/>
                <v:imagedata o:title=""/>
                <o:lock v:ext="edit" aspectratio="f"/>
              </v:line>
            </w:pict>
          </mc:Fallback>
        </mc:AlternateContent>
      </w:r>
    </w:p>
    <w:sectPr w:rsidR="00AB0B6E">
      <w:headerReference w:type="default" r:id="rId16"/>
      <w:footerReference w:type="even" r:id="rId17"/>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33468" w14:textId="77777777" w:rsidR="008D1D21" w:rsidRDefault="008D1D21">
      <w:pPr>
        <w:rPr>
          <w:rFonts w:hint="eastAsia"/>
        </w:rPr>
      </w:pPr>
      <w:r>
        <w:separator/>
      </w:r>
    </w:p>
  </w:endnote>
  <w:endnote w:type="continuationSeparator" w:id="0">
    <w:p w14:paraId="675CD8E7" w14:textId="77777777" w:rsidR="008D1D21" w:rsidRDefault="008D1D2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618901"/>
    </w:sdtPr>
    <w:sdtContent>
      <w:p w14:paraId="78D42976" w14:textId="77777777" w:rsidR="00AB0B6E" w:rsidRDefault="00000000">
        <w:pPr>
          <w:pStyle w:val="afff"/>
          <w:jc w:val="center"/>
        </w:pPr>
        <w:r>
          <w:fldChar w:fldCharType="begin"/>
        </w:r>
        <w:r>
          <w:instrText>PAGE   \* MERGEFORMAT</w:instrText>
        </w:r>
        <w:r>
          <w:fldChar w:fldCharType="separate"/>
        </w:r>
        <w:r>
          <w:rPr>
            <w:lang w:val="zh-CN"/>
          </w:rPr>
          <w:t>2</w:t>
        </w:r>
        <w:r>
          <w:fldChar w:fldCharType="end"/>
        </w:r>
      </w:p>
    </w:sdtContent>
  </w:sdt>
  <w:p w14:paraId="7E4786CE" w14:textId="77777777" w:rsidR="00AB0B6E" w:rsidRDefault="00AB0B6E">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455792"/>
    </w:sdtPr>
    <w:sdtContent>
      <w:p w14:paraId="6C8D9FD8" w14:textId="77777777" w:rsidR="00AB0B6E" w:rsidRDefault="00000000">
        <w:pPr>
          <w:pStyle w:val="afff"/>
        </w:pPr>
        <w:r>
          <w:fldChar w:fldCharType="begin"/>
        </w:r>
        <w:r>
          <w:instrText>PAGE   \* MERGEFORMAT</w:instrText>
        </w:r>
        <w:r>
          <w:fldChar w:fldCharType="separate"/>
        </w:r>
        <w:r>
          <w:rPr>
            <w:lang w:val="zh-CN"/>
          </w:rPr>
          <w:t>2</w:t>
        </w:r>
        <w:r>
          <w:fldChar w:fldCharType="end"/>
        </w:r>
      </w:p>
    </w:sdtContent>
  </w:sdt>
  <w:p w14:paraId="103A14B6" w14:textId="77777777" w:rsidR="00AB0B6E" w:rsidRDefault="00AB0B6E">
    <w:pPr>
      <w:pStyle w:val="a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2993" w14:textId="77777777" w:rsidR="00AB0B6E" w:rsidRDefault="00000000">
    <w:pPr>
      <w:pStyle w:val="affff"/>
    </w:pPr>
    <w:r>
      <w:fldChar w:fldCharType="begin"/>
    </w:r>
    <w:r>
      <w:instrText xml:space="preserve"> PAGE  \* MERGEFORMAT </w:instrText>
    </w:r>
    <w:r>
      <w:fldChar w:fldCharType="separate"/>
    </w:r>
    <w: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987821"/>
    </w:sdtPr>
    <w:sdtContent>
      <w:p w14:paraId="5D452706" w14:textId="77777777" w:rsidR="00AB0B6E" w:rsidRDefault="00000000">
        <w:pPr>
          <w:pStyle w:val="afff"/>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169ED" w14:textId="77777777" w:rsidR="008D1D21" w:rsidRDefault="008D1D21">
      <w:pPr>
        <w:rPr>
          <w:rFonts w:hint="eastAsia"/>
        </w:rPr>
      </w:pPr>
      <w:r>
        <w:separator/>
      </w:r>
    </w:p>
  </w:footnote>
  <w:footnote w:type="continuationSeparator" w:id="0">
    <w:p w14:paraId="191DA69D" w14:textId="77777777" w:rsidR="008D1D21" w:rsidRDefault="008D1D2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40F35" w14:textId="77777777" w:rsidR="00AB0B6E" w:rsidRDefault="00000000">
    <w:pPr>
      <w:pStyle w:val="afff1"/>
      <w:spacing w:beforeLines="50" w:before="120" w:afterLines="150" w:after="360"/>
    </w:pPr>
    <w:r>
      <w:t>DBXX/ 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DA22C" w14:textId="77777777" w:rsidR="00AB0B6E" w:rsidRDefault="00000000">
    <w:pPr>
      <w:pStyle w:val="afff1"/>
      <w:spacing w:beforeLines="50" w:before="120" w:afterLines="150" w:after="360"/>
      <w:jc w:val="right"/>
    </w:pPr>
    <w:r>
      <w:t>DBXX/ 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9161" w14:textId="77777777" w:rsidR="00AB0B6E" w:rsidRDefault="00000000">
    <w:pPr>
      <w:pStyle w:val="affff0"/>
    </w:pPr>
    <w:r>
      <w:t>DBXX/ XXXXX</w:t>
    </w:r>
    <w:r>
      <w:t>—</w:t>
    </w:r>
    <w: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15C3" w14:textId="77777777" w:rsidR="00AB0B6E" w:rsidRDefault="00000000">
    <w:pPr>
      <w:pStyle w:val="affff0"/>
    </w:pPr>
    <w:r>
      <w:t>DBXX/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079102AD"/>
    <w:lvl w:ilvl="0">
      <w:start w:val="1"/>
      <w:numFmt w:val="decimal"/>
      <w:pStyle w:val="a"/>
      <w:suff w:val="nothing"/>
      <w:lvlText w:val="注%1："/>
      <w:lvlJc w:val="left"/>
      <w:pPr>
        <w:ind w:left="3789" w:hanging="448"/>
      </w:pPr>
      <w:rPr>
        <w:rFonts w:ascii="黑体" w:eastAsia="黑体" w:hint="eastAsia"/>
        <w:b w:val="0"/>
        <w:i w:val="0"/>
        <w:sz w:val="18"/>
        <w:lang w:val="en-US"/>
      </w:rPr>
    </w:lvl>
    <w:lvl w:ilvl="1">
      <w:start w:val="1"/>
      <w:numFmt w:val="lowerLetter"/>
      <w:lvlText w:val="%2)"/>
      <w:lvlJc w:val="left"/>
      <w:pPr>
        <w:tabs>
          <w:tab w:val="left" w:pos="2978"/>
        </w:tabs>
        <w:ind w:left="3970" w:hanging="629"/>
      </w:pPr>
      <w:rPr>
        <w:rFonts w:hint="eastAsia"/>
      </w:rPr>
    </w:lvl>
    <w:lvl w:ilvl="2">
      <w:start w:val="1"/>
      <w:numFmt w:val="lowerRoman"/>
      <w:lvlText w:val="%3."/>
      <w:lvlJc w:val="right"/>
      <w:pPr>
        <w:tabs>
          <w:tab w:val="left" w:pos="2978"/>
        </w:tabs>
        <w:ind w:left="3970" w:hanging="629"/>
      </w:pPr>
      <w:rPr>
        <w:rFonts w:hint="eastAsia"/>
      </w:rPr>
    </w:lvl>
    <w:lvl w:ilvl="3">
      <w:start w:val="1"/>
      <w:numFmt w:val="decimal"/>
      <w:lvlText w:val="%4."/>
      <w:lvlJc w:val="left"/>
      <w:pPr>
        <w:tabs>
          <w:tab w:val="left" w:pos="2978"/>
        </w:tabs>
        <w:ind w:left="3970" w:hanging="629"/>
      </w:pPr>
      <w:rPr>
        <w:rFonts w:hint="eastAsia"/>
      </w:rPr>
    </w:lvl>
    <w:lvl w:ilvl="4">
      <w:start w:val="1"/>
      <w:numFmt w:val="lowerLetter"/>
      <w:lvlText w:val="%5)"/>
      <w:lvlJc w:val="left"/>
      <w:pPr>
        <w:tabs>
          <w:tab w:val="left" w:pos="2978"/>
        </w:tabs>
        <w:ind w:left="3970" w:hanging="629"/>
      </w:pPr>
      <w:rPr>
        <w:rFonts w:hint="eastAsia"/>
      </w:rPr>
    </w:lvl>
    <w:lvl w:ilvl="5">
      <w:start w:val="1"/>
      <w:numFmt w:val="lowerRoman"/>
      <w:lvlText w:val="%6."/>
      <w:lvlJc w:val="right"/>
      <w:pPr>
        <w:tabs>
          <w:tab w:val="left" w:pos="2978"/>
        </w:tabs>
        <w:ind w:left="3970" w:hanging="629"/>
      </w:pPr>
      <w:rPr>
        <w:rFonts w:hint="eastAsia"/>
      </w:rPr>
    </w:lvl>
    <w:lvl w:ilvl="6">
      <w:start w:val="1"/>
      <w:numFmt w:val="decimal"/>
      <w:lvlText w:val="%7."/>
      <w:lvlJc w:val="left"/>
      <w:pPr>
        <w:tabs>
          <w:tab w:val="left" w:pos="2978"/>
        </w:tabs>
        <w:ind w:left="3970" w:hanging="629"/>
      </w:pPr>
      <w:rPr>
        <w:rFonts w:hint="eastAsia"/>
      </w:rPr>
    </w:lvl>
    <w:lvl w:ilvl="7">
      <w:start w:val="1"/>
      <w:numFmt w:val="lowerLetter"/>
      <w:lvlText w:val="%8)"/>
      <w:lvlJc w:val="left"/>
      <w:pPr>
        <w:tabs>
          <w:tab w:val="left" w:pos="2978"/>
        </w:tabs>
        <w:ind w:left="3970" w:hanging="629"/>
      </w:pPr>
      <w:rPr>
        <w:rFonts w:hint="eastAsia"/>
      </w:rPr>
    </w:lvl>
    <w:lvl w:ilvl="8">
      <w:start w:val="1"/>
      <w:numFmt w:val="lowerRoman"/>
      <w:lvlText w:val="%9."/>
      <w:lvlJc w:val="right"/>
      <w:pPr>
        <w:tabs>
          <w:tab w:val="left" w:pos="2978"/>
        </w:tabs>
        <w:ind w:left="3970"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2411"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4661" w:hanging="408"/>
      </w:pPr>
      <w:rPr>
        <w:rFonts w:hint="eastAsia"/>
        <w:lang w:val="en-US"/>
      </w:rPr>
    </w:lvl>
    <w:lvl w:ilvl="1">
      <w:start w:val="1"/>
      <w:numFmt w:val="bullet"/>
      <w:pStyle w:val="ad"/>
      <w:lvlText w:val=""/>
      <w:lvlJc w:val="left"/>
      <w:pPr>
        <w:tabs>
          <w:tab w:val="left" w:pos="760"/>
        </w:tabs>
        <w:ind w:left="1259" w:hanging="413"/>
      </w:pPr>
      <w:rPr>
        <w:rFonts w:ascii="Symbol" w:hAnsi="Symbol" w:hint="default"/>
        <w:color w:val="auto"/>
      </w:rPr>
    </w:lvl>
    <w:lvl w:ilvl="2">
      <w:start w:val="1"/>
      <w:numFmt w:val="bullet"/>
      <w:pStyle w:val="ae"/>
      <w:lvlText w:val=""/>
      <w:lvlJc w:val="left"/>
      <w:pPr>
        <w:tabs>
          <w:tab w:val="left" w:pos="1678"/>
        </w:tabs>
        <w:ind w:left="1673" w:hanging="414"/>
      </w:pPr>
      <w:rPr>
        <w:rFonts w:ascii="Symbol" w:hAnsi="Symbol" w:hint="default"/>
        <w:color w:val="auto"/>
      </w:rPr>
    </w:lvl>
    <w:lvl w:ilvl="3">
      <w:start w:val="1"/>
      <w:numFmt w:val="decimal"/>
      <w:lvlText w:val="%4."/>
      <w:lvlJc w:val="left"/>
      <w:pPr>
        <w:tabs>
          <w:tab w:val="left" w:pos="2071"/>
        </w:tabs>
        <w:ind w:left="1879" w:hanging="528"/>
      </w:pPr>
      <w:rPr>
        <w:rFonts w:hint="eastAsia"/>
      </w:rPr>
    </w:lvl>
    <w:lvl w:ilvl="4">
      <w:start w:val="1"/>
      <w:numFmt w:val="lowerLetter"/>
      <w:lvlText w:val="%5)"/>
      <w:lvlJc w:val="left"/>
      <w:pPr>
        <w:tabs>
          <w:tab w:val="left" w:pos="2383"/>
        </w:tabs>
        <w:ind w:left="2191" w:hanging="528"/>
      </w:pPr>
      <w:rPr>
        <w:rFonts w:hint="eastAsia"/>
      </w:rPr>
    </w:lvl>
    <w:lvl w:ilvl="5">
      <w:start w:val="1"/>
      <w:numFmt w:val="lowerRoman"/>
      <w:lvlText w:val="%6."/>
      <w:lvlJc w:val="right"/>
      <w:pPr>
        <w:tabs>
          <w:tab w:val="left" w:pos="2695"/>
        </w:tabs>
        <w:ind w:left="2503" w:hanging="528"/>
      </w:pPr>
      <w:rPr>
        <w:rFonts w:hint="eastAsia"/>
      </w:rPr>
    </w:lvl>
    <w:lvl w:ilvl="6">
      <w:start w:val="1"/>
      <w:numFmt w:val="decimal"/>
      <w:lvlText w:val="%7."/>
      <w:lvlJc w:val="left"/>
      <w:pPr>
        <w:tabs>
          <w:tab w:val="left" w:pos="3007"/>
        </w:tabs>
        <w:ind w:left="2815" w:hanging="528"/>
      </w:pPr>
      <w:rPr>
        <w:rFonts w:hint="eastAsia"/>
      </w:rPr>
    </w:lvl>
    <w:lvl w:ilvl="7">
      <w:start w:val="1"/>
      <w:numFmt w:val="lowerLetter"/>
      <w:lvlText w:val="%8)"/>
      <w:lvlJc w:val="left"/>
      <w:pPr>
        <w:tabs>
          <w:tab w:val="left" w:pos="3319"/>
        </w:tabs>
        <w:ind w:left="3127" w:hanging="528"/>
      </w:pPr>
      <w:rPr>
        <w:rFonts w:hint="eastAsia"/>
      </w:rPr>
    </w:lvl>
    <w:lvl w:ilvl="8">
      <w:start w:val="1"/>
      <w:numFmt w:val="lowerRoman"/>
      <w:lvlText w:val="%9."/>
      <w:lvlJc w:val="right"/>
      <w:pPr>
        <w:tabs>
          <w:tab w:val="left" w:pos="3631"/>
        </w:tabs>
        <w:ind w:left="3439" w:hanging="528"/>
      </w:pPr>
      <w:rPr>
        <w:rFonts w:hint="eastAsia"/>
      </w:rPr>
    </w:lvl>
  </w:abstractNum>
  <w:abstractNum w:abstractNumId="8" w15:restartNumberingAfterBreak="0">
    <w:nsid w:val="3818378C"/>
    <w:multiLevelType w:val="multilevel"/>
    <w:tmpl w:val="3818378C"/>
    <w:lvl w:ilvl="0">
      <w:start w:val="1"/>
      <w:numFmt w:val="upperLetter"/>
      <w:pStyle w:val="2"/>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pStyle w:val="0505"/>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2694"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7"/>
      <w:suff w:val="nothing"/>
      <w:lvlText w:val="表%1　"/>
      <w:lvlJc w:val="left"/>
      <w:pPr>
        <w:ind w:left="3402"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495562212">
    <w:abstractNumId w:val="9"/>
  </w:num>
  <w:num w:numId="2" w16cid:durableId="1959678690">
    <w:abstractNumId w:val="5"/>
  </w:num>
  <w:num w:numId="3" w16cid:durableId="764617068">
    <w:abstractNumId w:val="7"/>
  </w:num>
  <w:num w:numId="4" w16cid:durableId="2003922769">
    <w:abstractNumId w:val="2"/>
  </w:num>
  <w:num w:numId="5" w16cid:durableId="1051198501">
    <w:abstractNumId w:val="10"/>
  </w:num>
  <w:num w:numId="6" w16cid:durableId="1088381811">
    <w:abstractNumId w:val="17"/>
  </w:num>
  <w:num w:numId="7" w16cid:durableId="2128114937">
    <w:abstractNumId w:val="0"/>
  </w:num>
  <w:num w:numId="8" w16cid:durableId="1155953642">
    <w:abstractNumId w:val="11"/>
  </w:num>
  <w:num w:numId="9" w16cid:durableId="1759212346">
    <w:abstractNumId w:val="4"/>
  </w:num>
  <w:num w:numId="10" w16cid:durableId="972717219">
    <w:abstractNumId w:val="15"/>
  </w:num>
  <w:num w:numId="11" w16cid:durableId="251478088">
    <w:abstractNumId w:val="13"/>
  </w:num>
  <w:num w:numId="12" w16cid:durableId="1530532196">
    <w:abstractNumId w:val="16"/>
  </w:num>
  <w:num w:numId="13" w16cid:durableId="1913852105">
    <w:abstractNumId w:val="6"/>
  </w:num>
  <w:num w:numId="14" w16cid:durableId="378018242">
    <w:abstractNumId w:val="1"/>
  </w:num>
  <w:num w:numId="15" w16cid:durableId="1151368838">
    <w:abstractNumId w:val="3"/>
  </w:num>
  <w:num w:numId="16" w16cid:durableId="406341014">
    <w:abstractNumId w:val="14"/>
  </w:num>
  <w:num w:numId="17" w16cid:durableId="1821732114">
    <w:abstractNumId w:val="12"/>
  </w:num>
  <w:num w:numId="18" w16cid:durableId="7658108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I5ZWU1NmJjZTNkN2Y4NWZmMDYzNDc5YjNmYmVhNGEifQ=="/>
  </w:docVars>
  <w:rsids>
    <w:rsidRoot w:val="004D3D30"/>
    <w:rsid w:val="000018C4"/>
    <w:rsid w:val="00002CA6"/>
    <w:rsid w:val="00004320"/>
    <w:rsid w:val="00004A60"/>
    <w:rsid w:val="00005392"/>
    <w:rsid w:val="00005ED3"/>
    <w:rsid w:val="0000637F"/>
    <w:rsid w:val="00011673"/>
    <w:rsid w:val="00011920"/>
    <w:rsid w:val="00015237"/>
    <w:rsid w:val="00015863"/>
    <w:rsid w:val="00021783"/>
    <w:rsid w:val="00021909"/>
    <w:rsid w:val="00026A9A"/>
    <w:rsid w:val="000270C5"/>
    <w:rsid w:val="000276D5"/>
    <w:rsid w:val="000314C7"/>
    <w:rsid w:val="00031C78"/>
    <w:rsid w:val="00034CFE"/>
    <w:rsid w:val="00037A4B"/>
    <w:rsid w:val="000418F7"/>
    <w:rsid w:val="0004296A"/>
    <w:rsid w:val="000432AC"/>
    <w:rsid w:val="000440AA"/>
    <w:rsid w:val="00044AD0"/>
    <w:rsid w:val="000460FB"/>
    <w:rsid w:val="00046942"/>
    <w:rsid w:val="00046B74"/>
    <w:rsid w:val="00050CDB"/>
    <w:rsid w:val="00051D23"/>
    <w:rsid w:val="000537A5"/>
    <w:rsid w:val="00054E7E"/>
    <w:rsid w:val="00057A5B"/>
    <w:rsid w:val="000611D6"/>
    <w:rsid w:val="000619C1"/>
    <w:rsid w:val="0006389C"/>
    <w:rsid w:val="00063D10"/>
    <w:rsid w:val="00066BFA"/>
    <w:rsid w:val="000725A0"/>
    <w:rsid w:val="00073BB8"/>
    <w:rsid w:val="00073D81"/>
    <w:rsid w:val="0007570B"/>
    <w:rsid w:val="00075BD4"/>
    <w:rsid w:val="0007645A"/>
    <w:rsid w:val="00081D15"/>
    <w:rsid w:val="000820BE"/>
    <w:rsid w:val="0008635A"/>
    <w:rsid w:val="000877BA"/>
    <w:rsid w:val="000877DA"/>
    <w:rsid w:val="00091A08"/>
    <w:rsid w:val="00093B59"/>
    <w:rsid w:val="00094B0B"/>
    <w:rsid w:val="000A2094"/>
    <w:rsid w:val="000A26C8"/>
    <w:rsid w:val="000A3854"/>
    <w:rsid w:val="000A3C84"/>
    <w:rsid w:val="000A41FD"/>
    <w:rsid w:val="000B091A"/>
    <w:rsid w:val="000B0E8E"/>
    <w:rsid w:val="000B218A"/>
    <w:rsid w:val="000B32DD"/>
    <w:rsid w:val="000B33EE"/>
    <w:rsid w:val="000B3ABA"/>
    <w:rsid w:val="000B4320"/>
    <w:rsid w:val="000B63C3"/>
    <w:rsid w:val="000B6E15"/>
    <w:rsid w:val="000C04BA"/>
    <w:rsid w:val="000C0589"/>
    <w:rsid w:val="000C066C"/>
    <w:rsid w:val="000C2504"/>
    <w:rsid w:val="000C30F8"/>
    <w:rsid w:val="000C432D"/>
    <w:rsid w:val="000C4845"/>
    <w:rsid w:val="000C5436"/>
    <w:rsid w:val="000C5FCA"/>
    <w:rsid w:val="000D0C03"/>
    <w:rsid w:val="000D2E10"/>
    <w:rsid w:val="000D302A"/>
    <w:rsid w:val="000D4E9A"/>
    <w:rsid w:val="000D6CB5"/>
    <w:rsid w:val="000D7554"/>
    <w:rsid w:val="000E00B4"/>
    <w:rsid w:val="000E1525"/>
    <w:rsid w:val="000E3F44"/>
    <w:rsid w:val="000E4659"/>
    <w:rsid w:val="000E5DEC"/>
    <w:rsid w:val="000F2ECA"/>
    <w:rsid w:val="000F37D8"/>
    <w:rsid w:val="000F38FF"/>
    <w:rsid w:val="000F42D2"/>
    <w:rsid w:val="000F42F7"/>
    <w:rsid w:val="000F66EC"/>
    <w:rsid w:val="000F6E26"/>
    <w:rsid w:val="000F6F1C"/>
    <w:rsid w:val="0010144E"/>
    <w:rsid w:val="00102791"/>
    <w:rsid w:val="00103910"/>
    <w:rsid w:val="0010702E"/>
    <w:rsid w:val="00110BD7"/>
    <w:rsid w:val="00110BF2"/>
    <w:rsid w:val="00111A70"/>
    <w:rsid w:val="00112087"/>
    <w:rsid w:val="00112E30"/>
    <w:rsid w:val="00113BBE"/>
    <w:rsid w:val="00114715"/>
    <w:rsid w:val="00114D7B"/>
    <w:rsid w:val="00116026"/>
    <w:rsid w:val="0012420D"/>
    <w:rsid w:val="0012543F"/>
    <w:rsid w:val="00127925"/>
    <w:rsid w:val="001301C9"/>
    <w:rsid w:val="0013089C"/>
    <w:rsid w:val="00131B14"/>
    <w:rsid w:val="00133EC2"/>
    <w:rsid w:val="00134D34"/>
    <w:rsid w:val="0013574A"/>
    <w:rsid w:val="00135F5C"/>
    <w:rsid w:val="001424B4"/>
    <w:rsid w:val="00143582"/>
    <w:rsid w:val="001439B7"/>
    <w:rsid w:val="001448A2"/>
    <w:rsid w:val="00145E28"/>
    <w:rsid w:val="00146726"/>
    <w:rsid w:val="00150B27"/>
    <w:rsid w:val="00152127"/>
    <w:rsid w:val="001579B3"/>
    <w:rsid w:val="00161E9F"/>
    <w:rsid w:val="00163193"/>
    <w:rsid w:val="001658A7"/>
    <w:rsid w:val="00166761"/>
    <w:rsid w:val="00166814"/>
    <w:rsid w:val="0017105E"/>
    <w:rsid w:val="00174158"/>
    <w:rsid w:val="001813B3"/>
    <w:rsid w:val="0018190A"/>
    <w:rsid w:val="00181A45"/>
    <w:rsid w:val="00185F12"/>
    <w:rsid w:val="00186622"/>
    <w:rsid w:val="00191B1A"/>
    <w:rsid w:val="001923F2"/>
    <w:rsid w:val="00192628"/>
    <w:rsid w:val="001956A8"/>
    <w:rsid w:val="0019642E"/>
    <w:rsid w:val="001A41C0"/>
    <w:rsid w:val="001B0B24"/>
    <w:rsid w:val="001B0C5A"/>
    <w:rsid w:val="001B0CE7"/>
    <w:rsid w:val="001B0D47"/>
    <w:rsid w:val="001B28F7"/>
    <w:rsid w:val="001B301F"/>
    <w:rsid w:val="001B480A"/>
    <w:rsid w:val="001B49ED"/>
    <w:rsid w:val="001B500A"/>
    <w:rsid w:val="001B69A1"/>
    <w:rsid w:val="001B7EC6"/>
    <w:rsid w:val="001B7F1B"/>
    <w:rsid w:val="001C207C"/>
    <w:rsid w:val="001C2B9B"/>
    <w:rsid w:val="001C3EF6"/>
    <w:rsid w:val="001C524B"/>
    <w:rsid w:val="001C5316"/>
    <w:rsid w:val="001C5BD4"/>
    <w:rsid w:val="001C60E9"/>
    <w:rsid w:val="001D265F"/>
    <w:rsid w:val="001D2789"/>
    <w:rsid w:val="001D2CE8"/>
    <w:rsid w:val="001D4735"/>
    <w:rsid w:val="001D54E2"/>
    <w:rsid w:val="001D75B3"/>
    <w:rsid w:val="001D7E90"/>
    <w:rsid w:val="001E02BF"/>
    <w:rsid w:val="001E17EE"/>
    <w:rsid w:val="001E4E6B"/>
    <w:rsid w:val="001E6D07"/>
    <w:rsid w:val="001E7CAC"/>
    <w:rsid w:val="001F0EA4"/>
    <w:rsid w:val="001F2DFD"/>
    <w:rsid w:val="001F5503"/>
    <w:rsid w:val="00202458"/>
    <w:rsid w:val="0020270A"/>
    <w:rsid w:val="00203A62"/>
    <w:rsid w:val="00203EC4"/>
    <w:rsid w:val="00204D32"/>
    <w:rsid w:val="002061E1"/>
    <w:rsid w:val="002066E0"/>
    <w:rsid w:val="00207D6E"/>
    <w:rsid w:val="0021399A"/>
    <w:rsid w:val="0021535A"/>
    <w:rsid w:val="00216278"/>
    <w:rsid w:val="00220A14"/>
    <w:rsid w:val="00224288"/>
    <w:rsid w:val="00225637"/>
    <w:rsid w:val="002271EA"/>
    <w:rsid w:val="00230CDC"/>
    <w:rsid w:val="002319DB"/>
    <w:rsid w:val="00233AF7"/>
    <w:rsid w:val="002351AD"/>
    <w:rsid w:val="00236562"/>
    <w:rsid w:val="00240362"/>
    <w:rsid w:val="002416F2"/>
    <w:rsid w:val="0024345D"/>
    <w:rsid w:val="00245DA4"/>
    <w:rsid w:val="00253311"/>
    <w:rsid w:val="00255272"/>
    <w:rsid w:val="00256AC9"/>
    <w:rsid w:val="002605E6"/>
    <w:rsid w:val="002616B9"/>
    <w:rsid w:val="00263580"/>
    <w:rsid w:val="002645C0"/>
    <w:rsid w:val="00266616"/>
    <w:rsid w:val="0026709F"/>
    <w:rsid w:val="002716FB"/>
    <w:rsid w:val="00277E4F"/>
    <w:rsid w:val="00280029"/>
    <w:rsid w:val="00280D9D"/>
    <w:rsid w:val="002841DC"/>
    <w:rsid w:val="00284A94"/>
    <w:rsid w:val="002857A5"/>
    <w:rsid w:val="00285F28"/>
    <w:rsid w:val="0029075E"/>
    <w:rsid w:val="00291EE5"/>
    <w:rsid w:val="00292DD2"/>
    <w:rsid w:val="00294AF2"/>
    <w:rsid w:val="00296256"/>
    <w:rsid w:val="002A04B6"/>
    <w:rsid w:val="002A1546"/>
    <w:rsid w:val="002A38E6"/>
    <w:rsid w:val="002A3A57"/>
    <w:rsid w:val="002A3A61"/>
    <w:rsid w:val="002A69BC"/>
    <w:rsid w:val="002A7E3F"/>
    <w:rsid w:val="002B286E"/>
    <w:rsid w:val="002B28B2"/>
    <w:rsid w:val="002B2C6C"/>
    <w:rsid w:val="002B3FDF"/>
    <w:rsid w:val="002B458E"/>
    <w:rsid w:val="002B464D"/>
    <w:rsid w:val="002C00D9"/>
    <w:rsid w:val="002C25E5"/>
    <w:rsid w:val="002C29E7"/>
    <w:rsid w:val="002C4219"/>
    <w:rsid w:val="002C472F"/>
    <w:rsid w:val="002C4B4E"/>
    <w:rsid w:val="002C5AA1"/>
    <w:rsid w:val="002C6BD8"/>
    <w:rsid w:val="002C6C5D"/>
    <w:rsid w:val="002D0EB8"/>
    <w:rsid w:val="002D2822"/>
    <w:rsid w:val="002D35F8"/>
    <w:rsid w:val="002D4BEE"/>
    <w:rsid w:val="002D55CD"/>
    <w:rsid w:val="002E1153"/>
    <w:rsid w:val="002E256D"/>
    <w:rsid w:val="002E2643"/>
    <w:rsid w:val="002E370C"/>
    <w:rsid w:val="002E40A6"/>
    <w:rsid w:val="002E6270"/>
    <w:rsid w:val="002E7B80"/>
    <w:rsid w:val="002F0225"/>
    <w:rsid w:val="002F070C"/>
    <w:rsid w:val="002F3295"/>
    <w:rsid w:val="002F6847"/>
    <w:rsid w:val="002F6E6F"/>
    <w:rsid w:val="00301B8E"/>
    <w:rsid w:val="00301DFC"/>
    <w:rsid w:val="00302B6B"/>
    <w:rsid w:val="003079F3"/>
    <w:rsid w:val="00310BAE"/>
    <w:rsid w:val="00313210"/>
    <w:rsid w:val="00313D4B"/>
    <w:rsid w:val="00314879"/>
    <w:rsid w:val="00316757"/>
    <w:rsid w:val="00320503"/>
    <w:rsid w:val="00321048"/>
    <w:rsid w:val="00321C02"/>
    <w:rsid w:val="003264D0"/>
    <w:rsid w:val="0032664C"/>
    <w:rsid w:val="00326D72"/>
    <w:rsid w:val="00330A79"/>
    <w:rsid w:val="00330EB7"/>
    <w:rsid w:val="00331DC7"/>
    <w:rsid w:val="00333186"/>
    <w:rsid w:val="00333520"/>
    <w:rsid w:val="00335062"/>
    <w:rsid w:val="003358D0"/>
    <w:rsid w:val="00335AB9"/>
    <w:rsid w:val="00336424"/>
    <w:rsid w:val="00337EA2"/>
    <w:rsid w:val="00340785"/>
    <w:rsid w:val="003422A6"/>
    <w:rsid w:val="00350046"/>
    <w:rsid w:val="00350E3E"/>
    <w:rsid w:val="0035213B"/>
    <w:rsid w:val="003535F8"/>
    <w:rsid w:val="00354223"/>
    <w:rsid w:val="00357FCF"/>
    <w:rsid w:val="0036074D"/>
    <w:rsid w:val="003609E1"/>
    <w:rsid w:val="00362F4A"/>
    <w:rsid w:val="00363D01"/>
    <w:rsid w:val="00363E41"/>
    <w:rsid w:val="003652D6"/>
    <w:rsid w:val="00365360"/>
    <w:rsid w:val="00365C93"/>
    <w:rsid w:val="00367934"/>
    <w:rsid w:val="003725C1"/>
    <w:rsid w:val="00374055"/>
    <w:rsid w:val="003748E4"/>
    <w:rsid w:val="00380C1E"/>
    <w:rsid w:val="003836A6"/>
    <w:rsid w:val="0038380A"/>
    <w:rsid w:val="00383982"/>
    <w:rsid w:val="00384D85"/>
    <w:rsid w:val="0038527E"/>
    <w:rsid w:val="00385785"/>
    <w:rsid w:val="00386ECC"/>
    <w:rsid w:val="00390C71"/>
    <w:rsid w:val="00390D77"/>
    <w:rsid w:val="003913C0"/>
    <w:rsid w:val="00391753"/>
    <w:rsid w:val="00391C18"/>
    <w:rsid w:val="00392669"/>
    <w:rsid w:val="0039324D"/>
    <w:rsid w:val="00394322"/>
    <w:rsid w:val="00395493"/>
    <w:rsid w:val="00395BCB"/>
    <w:rsid w:val="003A0185"/>
    <w:rsid w:val="003A2D2C"/>
    <w:rsid w:val="003A31A8"/>
    <w:rsid w:val="003A34E0"/>
    <w:rsid w:val="003A6A06"/>
    <w:rsid w:val="003B0438"/>
    <w:rsid w:val="003B172B"/>
    <w:rsid w:val="003B1A94"/>
    <w:rsid w:val="003B4651"/>
    <w:rsid w:val="003B6616"/>
    <w:rsid w:val="003B708C"/>
    <w:rsid w:val="003B74F2"/>
    <w:rsid w:val="003B7527"/>
    <w:rsid w:val="003C1FB0"/>
    <w:rsid w:val="003C3A29"/>
    <w:rsid w:val="003C4184"/>
    <w:rsid w:val="003C661F"/>
    <w:rsid w:val="003C7003"/>
    <w:rsid w:val="003C728F"/>
    <w:rsid w:val="003C72C1"/>
    <w:rsid w:val="003C7633"/>
    <w:rsid w:val="003D054E"/>
    <w:rsid w:val="003D14BD"/>
    <w:rsid w:val="003D2689"/>
    <w:rsid w:val="003D2BAF"/>
    <w:rsid w:val="003D3943"/>
    <w:rsid w:val="003D39A4"/>
    <w:rsid w:val="003D4FDC"/>
    <w:rsid w:val="003D5BE1"/>
    <w:rsid w:val="003D6508"/>
    <w:rsid w:val="003D759C"/>
    <w:rsid w:val="003D7C52"/>
    <w:rsid w:val="003E02DD"/>
    <w:rsid w:val="003E0A61"/>
    <w:rsid w:val="003E0FC0"/>
    <w:rsid w:val="003E4F13"/>
    <w:rsid w:val="003E61DF"/>
    <w:rsid w:val="003E6F15"/>
    <w:rsid w:val="003F1EE5"/>
    <w:rsid w:val="003F5B4D"/>
    <w:rsid w:val="003F6AA7"/>
    <w:rsid w:val="003F6D49"/>
    <w:rsid w:val="003F78D5"/>
    <w:rsid w:val="004019C7"/>
    <w:rsid w:val="0040421B"/>
    <w:rsid w:val="00407C89"/>
    <w:rsid w:val="00410A2A"/>
    <w:rsid w:val="00411E4F"/>
    <w:rsid w:val="004124A8"/>
    <w:rsid w:val="00412DC5"/>
    <w:rsid w:val="00412F9C"/>
    <w:rsid w:val="004133B2"/>
    <w:rsid w:val="00414187"/>
    <w:rsid w:val="004166E9"/>
    <w:rsid w:val="00423893"/>
    <w:rsid w:val="004240D4"/>
    <w:rsid w:val="00430CEA"/>
    <w:rsid w:val="00430E11"/>
    <w:rsid w:val="00431EAF"/>
    <w:rsid w:val="004332A1"/>
    <w:rsid w:val="004340FE"/>
    <w:rsid w:val="00434A24"/>
    <w:rsid w:val="004407D0"/>
    <w:rsid w:val="00440DA6"/>
    <w:rsid w:val="00441F29"/>
    <w:rsid w:val="00442A03"/>
    <w:rsid w:val="00442B66"/>
    <w:rsid w:val="00444DC4"/>
    <w:rsid w:val="004461C1"/>
    <w:rsid w:val="00446403"/>
    <w:rsid w:val="004466F0"/>
    <w:rsid w:val="00447D4B"/>
    <w:rsid w:val="0045173B"/>
    <w:rsid w:val="004538B1"/>
    <w:rsid w:val="00454483"/>
    <w:rsid w:val="00456E4C"/>
    <w:rsid w:val="00460CC9"/>
    <w:rsid w:val="00461FA9"/>
    <w:rsid w:val="004622A3"/>
    <w:rsid w:val="00462DF2"/>
    <w:rsid w:val="004641F8"/>
    <w:rsid w:val="00466FCE"/>
    <w:rsid w:val="00471281"/>
    <w:rsid w:val="00471377"/>
    <w:rsid w:val="00471B87"/>
    <w:rsid w:val="00472281"/>
    <w:rsid w:val="00473989"/>
    <w:rsid w:val="0047410C"/>
    <w:rsid w:val="0047675C"/>
    <w:rsid w:val="00477EBC"/>
    <w:rsid w:val="00482405"/>
    <w:rsid w:val="004834CA"/>
    <w:rsid w:val="00485E7E"/>
    <w:rsid w:val="00486C5E"/>
    <w:rsid w:val="004876FB"/>
    <w:rsid w:val="004929FE"/>
    <w:rsid w:val="00494D0F"/>
    <w:rsid w:val="00496020"/>
    <w:rsid w:val="004973A9"/>
    <w:rsid w:val="00497CA2"/>
    <w:rsid w:val="00497EE0"/>
    <w:rsid w:val="004A0ED2"/>
    <w:rsid w:val="004A27B1"/>
    <w:rsid w:val="004A35C3"/>
    <w:rsid w:val="004A3612"/>
    <w:rsid w:val="004A68EC"/>
    <w:rsid w:val="004A7152"/>
    <w:rsid w:val="004A7B3F"/>
    <w:rsid w:val="004B22BA"/>
    <w:rsid w:val="004B2CEB"/>
    <w:rsid w:val="004B343C"/>
    <w:rsid w:val="004B5983"/>
    <w:rsid w:val="004B7B2F"/>
    <w:rsid w:val="004C0647"/>
    <w:rsid w:val="004C0A16"/>
    <w:rsid w:val="004C33C3"/>
    <w:rsid w:val="004C5218"/>
    <w:rsid w:val="004C60AE"/>
    <w:rsid w:val="004C6913"/>
    <w:rsid w:val="004D2895"/>
    <w:rsid w:val="004D3D30"/>
    <w:rsid w:val="004D405D"/>
    <w:rsid w:val="004D730F"/>
    <w:rsid w:val="004D73AB"/>
    <w:rsid w:val="004E0A4C"/>
    <w:rsid w:val="004E0CD0"/>
    <w:rsid w:val="004E1086"/>
    <w:rsid w:val="004E2484"/>
    <w:rsid w:val="004E450C"/>
    <w:rsid w:val="004E6C89"/>
    <w:rsid w:val="004E7462"/>
    <w:rsid w:val="004F10A1"/>
    <w:rsid w:val="004F3BBC"/>
    <w:rsid w:val="004F582F"/>
    <w:rsid w:val="004F6E42"/>
    <w:rsid w:val="004F73A6"/>
    <w:rsid w:val="005002CB"/>
    <w:rsid w:val="0050061C"/>
    <w:rsid w:val="00500CFE"/>
    <w:rsid w:val="005017FA"/>
    <w:rsid w:val="0050351E"/>
    <w:rsid w:val="0050447C"/>
    <w:rsid w:val="00504B1B"/>
    <w:rsid w:val="00504E13"/>
    <w:rsid w:val="00504FB6"/>
    <w:rsid w:val="005057F5"/>
    <w:rsid w:val="00505B5D"/>
    <w:rsid w:val="0050615B"/>
    <w:rsid w:val="005121CD"/>
    <w:rsid w:val="005152CC"/>
    <w:rsid w:val="00515D12"/>
    <w:rsid w:val="005160F6"/>
    <w:rsid w:val="005161E0"/>
    <w:rsid w:val="005162CB"/>
    <w:rsid w:val="00516952"/>
    <w:rsid w:val="00521CD0"/>
    <w:rsid w:val="005230E7"/>
    <w:rsid w:val="005238C9"/>
    <w:rsid w:val="0052395E"/>
    <w:rsid w:val="0052405E"/>
    <w:rsid w:val="0052432D"/>
    <w:rsid w:val="00526C01"/>
    <w:rsid w:val="00527592"/>
    <w:rsid w:val="0053079D"/>
    <w:rsid w:val="005319EC"/>
    <w:rsid w:val="00531E32"/>
    <w:rsid w:val="005320B2"/>
    <w:rsid w:val="00533E98"/>
    <w:rsid w:val="00534B1C"/>
    <w:rsid w:val="00535D3C"/>
    <w:rsid w:val="00541D23"/>
    <w:rsid w:val="00544DF1"/>
    <w:rsid w:val="00545F0F"/>
    <w:rsid w:val="00546B8B"/>
    <w:rsid w:val="0054736C"/>
    <w:rsid w:val="00547A15"/>
    <w:rsid w:val="00550D7E"/>
    <w:rsid w:val="00552427"/>
    <w:rsid w:val="005558EA"/>
    <w:rsid w:val="00556B61"/>
    <w:rsid w:val="00560D54"/>
    <w:rsid w:val="00562992"/>
    <w:rsid w:val="00563287"/>
    <w:rsid w:val="00563593"/>
    <w:rsid w:val="005669F5"/>
    <w:rsid w:val="0056784B"/>
    <w:rsid w:val="00573730"/>
    <w:rsid w:val="00576DFD"/>
    <w:rsid w:val="005774A2"/>
    <w:rsid w:val="005869CD"/>
    <w:rsid w:val="00587DD7"/>
    <w:rsid w:val="00590EED"/>
    <w:rsid w:val="005924BE"/>
    <w:rsid w:val="00592942"/>
    <w:rsid w:val="00594656"/>
    <w:rsid w:val="005979AB"/>
    <w:rsid w:val="005A361F"/>
    <w:rsid w:val="005A5F0B"/>
    <w:rsid w:val="005B1985"/>
    <w:rsid w:val="005B2725"/>
    <w:rsid w:val="005B505F"/>
    <w:rsid w:val="005B556F"/>
    <w:rsid w:val="005B5880"/>
    <w:rsid w:val="005B6CD0"/>
    <w:rsid w:val="005C341E"/>
    <w:rsid w:val="005C5B41"/>
    <w:rsid w:val="005C63EC"/>
    <w:rsid w:val="005D274C"/>
    <w:rsid w:val="005D2D9A"/>
    <w:rsid w:val="005D3CDF"/>
    <w:rsid w:val="005D7CB0"/>
    <w:rsid w:val="005E18AD"/>
    <w:rsid w:val="005E243F"/>
    <w:rsid w:val="005E3528"/>
    <w:rsid w:val="005E3805"/>
    <w:rsid w:val="005E4140"/>
    <w:rsid w:val="005E4233"/>
    <w:rsid w:val="005E58F3"/>
    <w:rsid w:val="005E6FE4"/>
    <w:rsid w:val="005F014D"/>
    <w:rsid w:val="005F2A0E"/>
    <w:rsid w:val="005F309D"/>
    <w:rsid w:val="005F346E"/>
    <w:rsid w:val="005F6D4C"/>
    <w:rsid w:val="005F7E8C"/>
    <w:rsid w:val="00601385"/>
    <w:rsid w:val="006027ED"/>
    <w:rsid w:val="00602942"/>
    <w:rsid w:val="00602984"/>
    <w:rsid w:val="006037FE"/>
    <w:rsid w:val="00605AE2"/>
    <w:rsid w:val="00607CC1"/>
    <w:rsid w:val="00611B7C"/>
    <w:rsid w:val="006120ED"/>
    <w:rsid w:val="00612CB2"/>
    <w:rsid w:val="00613250"/>
    <w:rsid w:val="00616A03"/>
    <w:rsid w:val="006177ED"/>
    <w:rsid w:val="006209FB"/>
    <w:rsid w:val="006210D6"/>
    <w:rsid w:val="00623737"/>
    <w:rsid w:val="00623A6F"/>
    <w:rsid w:val="00626134"/>
    <w:rsid w:val="00630047"/>
    <w:rsid w:val="0063022D"/>
    <w:rsid w:val="00630851"/>
    <w:rsid w:val="00631525"/>
    <w:rsid w:val="00631C6E"/>
    <w:rsid w:val="0063267E"/>
    <w:rsid w:val="0063485C"/>
    <w:rsid w:val="0063491B"/>
    <w:rsid w:val="00637E22"/>
    <w:rsid w:val="00641094"/>
    <w:rsid w:val="00642919"/>
    <w:rsid w:val="00644752"/>
    <w:rsid w:val="00646E03"/>
    <w:rsid w:val="00650214"/>
    <w:rsid w:val="006506C6"/>
    <w:rsid w:val="00651D7D"/>
    <w:rsid w:val="0065235F"/>
    <w:rsid w:val="00652540"/>
    <w:rsid w:val="00654EB9"/>
    <w:rsid w:val="00655CD6"/>
    <w:rsid w:val="00656088"/>
    <w:rsid w:val="00660770"/>
    <w:rsid w:val="00661B40"/>
    <w:rsid w:val="0066213D"/>
    <w:rsid w:val="00662AC0"/>
    <w:rsid w:val="006643AC"/>
    <w:rsid w:val="00666D9E"/>
    <w:rsid w:val="00670CE6"/>
    <w:rsid w:val="00680B85"/>
    <w:rsid w:val="006852FC"/>
    <w:rsid w:val="006877B6"/>
    <w:rsid w:val="00691703"/>
    <w:rsid w:val="00692ABC"/>
    <w:rsid w:val="00693881"/>
    <w:rsid w:val="006948B0"/>
    <w:rsid w:val="00696FEF"/>
    <w:rsid w:val="006A044C"/>
    <w:rsid w:val="006A275C"/>
    <w:rsid w:val="006A4911"/>
    <w:rsid w:val="006A5C73"/>
    <w:rsid w:val="006A6063"/>
    <w:rsid w:val="006A6560"/>
    <w:rsid w:val="006A6CD6"/>
    <w:rsid w:val="006B13C4"/>
    <w:rsid w:val="006B16BD"/>
    <w:rsid w:val="006B20D7"/>
    <w:rsid w:val="006B2B89"/>
    <w:rsid w:val="006B313A"/>
    <w:rsid w:val="006B6054"/>
    <w:rsid w:val="006C0BE3"/>
    <w:rsid w:val="006C2548"/>
    <w:rsid w:val="006C28F3"/>
    <w:rsid w:val="006C53CA"/>
    <w:rsid w:val="006C6FD6"/>
    <w:rsid w:val="006D0C4C"/>
    <w:rsid w:val="006D2FC2"/>
    <w:rsid w:val="006D3244"/>
    <w:rsid w:val="006D5A18"/>
    <w:rsid w:val="006D62F4"/>
    <w:rsid w:val="006D63F4"/>
    <w:rsid w:val="006D68BD"/>
    <w:rsid w:val="006D777A"/>
    <w:rsid w:val="006E20B6"/>
    <w:rsid w:val="006E23F2"/>
    <w:rsid w:val="006E2CEE"/>
    <w:rsid w:val="006E2F09"/>
    <w:rsid w:val="006E30E7"/>
    <w:rsid w:val="006E46F3"/>
    <w:rsid w:val="006E47E3"/>
    <w:rsid w:val="006E6EEE"/>
    <w:rsid w:val="006E74C5"/>
    <w:rsid w:val="006F1651"/>
    <w:rsid w:val="006F1F30"/>
    <w:rsid w:val="006F2AD1"/>
    <w:rsid w:val="006F44D8"/>
    <w:rsid w:val="006F4530"/>
    <w:rsid w:val="006F5070"/>
    <w:rsid w:val="006F64E4"/>
    <w:rsid w:val="006F7718"/>
    <w:rsid w:val="006F7A70"/>
    <w:rsid w:val="007007DE"/>
    <w:rsid w:val="00700B57"/>
    <w:rsid w:val="00706195"/>
    <w:rsid w:val="0071276A"/>
    <w:rsid w:val="00714349"/>
    <w:rsid w:val="007161C6"/>
    <w:rsid w:val="00716BB5"/>
    <w:rsid w:val="00716BC9"/>
    <w:rsid w:val="00716D8C"/>
    <w:rsid w:val="007206F6"/>
    <w:rsid w:val="0072251A"/>
    <w:rsid w:val="007225B3"/>
    <w:rsid w:val="00725A26"/>
    <w:rsid w:val="00730212"/>
    <w:rsid w:val="00730C1B"/>
    <w:rsid w:val="00730FD5"/>
    <w:rsid w:val="0073127D"/>
    <w:rsid w:val="00733F36"/>
    <w:rsid w:val="00734950"/>
    <w:rsid w:val="007351B2"/>
    <w:rsid w:val="00737F4F"/>
    <w:rsid w:val="00741CB9"/>
    <w:rsid w:val="007429B0"/>
    <w:rsid w:val="007450CF"/>
    <w:rsid w:val="0074574B"/>
    <w:rsid w:val="00750B1E"/>
    <w:rsid w:val="00750E98"/>
    <w:rsid w:val="00751180"/>
    <w:rsid w:val="00753B3E"/>
    <w:rsid w:val="00754A29"/>
    <w:rsid w:val="007558AB"/>
    <w:rsid w:val="00761304"/>
    <w:rsid w:val="00762262"/>
    <w:rsid w:val="0076235E"/>
    <w:rsid w:val="0076319A"/>
    <w:rsid w:val="007632E3"/>
    <w:rsid w:val="00763366"/>
    <w:rsid w:val="0076343F"/>
    <w:rsid w:val="00763C2B"/>
    <w:rsid w:val="0076761E"/>
    <w:rsid w:val="00772894"/>
    <w:rsid w:val="007728F2"/>
    <w:rsid w:val="00773002"/>
    <w:rsid w:val="00773859"/>
    <w:rsid w:val="00773E9C"/>
    <w:rsid w:val="0077479E"/>
    <w:rsid w:val="00774D0A"/>
    <w:rsid w:val="00775677"/>
    <w:rsid w:val="007759D1"/>
    <w:rsid w:val="007803C4"/>
    <w:rsid w:val="007809AF"/>
    <w:rsid w:val="00781722"/>
    <w:rsid w:val="00781A93"/>
    <w:rsid w:val="007824E9"/>
    <w:rsid w:val="00782B65"/>
    <w:rsid w:val="00782DE8"/>
    <w:rsid w:val="00783928"/>
    <w:rsid w:val="00785656"/>
    <w:rsid w:val="00785B26"/>
    <w:rsid w:val="00787207"/>
    <w:rsid w:val="00787D93"/>
    <w:rsid w:val="00791A0E"/>
    <w:rsid w:val="007963C8"/>
    <w:rsid w:val="007A0260"/>
    <w:rsid w:val="007A1A9D"/>
    <w:rsid w:val="007A5B52"/>
    <w:rsid w:val="007A6251"/>
    <w:rsid w:val="007B35C9"/>
    <w:rsid w:val="007B5B24"/>
    <w:rsid w:val="007C1169"/>
    <w:rsid w:val="007C21D4"/>
    <w:rsid w:val="007C2605"/>
    <w:rsid w:val="007C3A04"/>
    <w:rsid w:val="007C560B"/>
    <w:rsid w:val="007C5C4A"/>
    <w:rsid w:val="007D02CE"/>
    <w:rsid w:val="007D1379"/>
    <w:rsid w:val="007D4B10"/>
    <w:rsid w:val="007D7859"/>
    <w:rsid w:val="007E0698"/>
    <w:rsid w:val="007E0AEF"/>
    <w:rsid w:val="007E3A03"/>
    <w:rsid w:val="007E63BF"/>
    <w:rsid w:val="007F062E"/>
    <w:rsid w:val="007F088C"/>
    <w:rsid w:val="007F107C"/>
    <w:rsid w:val="007F3A3D"/>
    <w:rsid w:val="007F677E"/>
    <w:rsid w:val="007F6D3B"/>
    <w:rsid w:val="007F6EA9"/>
    <w:rsid w:val="007F78FE"/>
    <w:rsid w:val="008004CC"/>
    <w:rsid w:val="00803208"/>
    <w:rsid w:val="008048A3"/>
    <w:rsid w:val="00806907"/>
    <w:rsid w:val="00811D4E"/>
    <w:rsid w:val="00813EEE"/>
    <w:rsid w:val="008140FA"/>
    <w:rsid w:val="0081522E"/>
    <w:rsid w:val="00816C34"/>
    <w:rsid w:val="00817385"/>
    <w:rsid w:val="00824346"/>
    <w:rsid w:val="0082507B"/>
    <w:rsid w:val="00825CAB"/>
    <w:rsid w:val="00827A59"/>
    <w:rsid w:val="00831E20"/>
    <w:rsid w:val="008327D8"/>
    <w:rsid w:val="008331A0"/>
    <w:rsid w:val="00836326"/>
    <w:rsid w:val="0084106E"/>
    <w:rsid w:val="008423FA"/>
    <w:rsid w:val="00843F66"/>
    <w:rsid w:val="008476B7"/>
    <w:rsid w:val="00852829"/>
    <w:rsid w:val="00855E2F"/>
    <w:rsid w:val="00857DF5"/>
    <w:rsid w:val="00860DD6"/>
    <w:rsid w:val="00862530"/>
    <w:rsid w:val="00863582"/>
    <w:rsid w:val="008635BE"/>
    <w:rsid w:val="008656C5"/>
    <w:rsid w:val="00867475"/>
    <w:rsid w:val="00872C5F"/>
    <w:rsid w:val="00873048"/>
    <w:rsid w:val="00873656"/>
    <w:rsid w:val="00873888"/>
    <w:rsid w:val="008761A3"/>
    <w:rsid w:val="00881638"/>
    <w:rsid w:val="00881744"/>
    <w:rsid w:val="00882442"/>
    <w:rsid w:val="008836D2"/>
    <w:rsid w:val="00883E9D"/>
    <w:rsid w:val="00885FEC"/>
    <w:rsid w:val="00886409"/>
    <w:rsid w:val="00886C2F"/>
    <w:rsid w:val="00891C10"/>
    <w:rsid w:val="00893833"/>
    <w:rsid w:val="008954EB"/>
    <w:rsid w:val="008957EE"/>
    <w:rsid w:val="00895EDD"/>
    <w:rsid w:val="00896513"/>
    <w:rsid w:val="00897BF2"/>
    <w:rsid w:val="008A2E8F"/>
    <w:rsid w:val="008A50D3"/>
    <w:rsid w:val="008A56AB"/>
    <w:rsid w:val="008A61F2"/>
    <w:rsid w:val="008B0C3F"/>
    <w:rsid w:val="008B307E"/>
    <w:rsid w:val="008B5019"/>
    <w:rsid w:val="008B52B2"/>
    <w:rsid w:val="008B5749"/>
    <w:rsid w:val="008B57A4"/>
    <w:rsid w:val="008B5A69"/>
    <w:rsid w:val="008B5ECA"/>
    <w:rsid w:val="008C233C"/>
    <w:rsid w:val="008C2DFD"/>
    <w:rsid w:val="008C371F"/>
    <w:rsid w:val="008C6259"/>
    <w:rsid w:val="008D1D21"/>
    <w:rsid w:val="008D2608"/>
    <w:rsid w:val="008D36D1"/>
    <w:rsid w:val="008D4A79"/>
    <w:rsid w:val="008D7804"/>
    <w:rsid w:val="008E11AB"/>
    <w:rsid w:val="008E11B0"/>
    <w:rsid w:val="008E18F7"/>
    <w:rsid w:val="008E2FC6"/>
    <w:rsid w:val="008E514A"/>
    <w:rsid w:val="008E5F2A"/>
    <w:rsid w:val="008F0274"/>
    <w:rsid w:val="008F1E84"/>
    <w:rsid w:val="008F20C0"/>
    <w:rsid w:val="008F312F"/>
    <w:rsid w:val="008F4098"/>
    <w:rsid w:val="008F554F"/>
    <w:rsid w:val="008F6091"/>
    <w:rsid w:val="0090099B"/>
    <w:rsid w:val="00901D1E"/>
    <w:rsid w:val="00903EA6"/>
    <w:rsid w:val="009069CB"/>
    <w:rsid w:val="00907E19"/>
    <w:rsid w:val="0091105F"/>
    <w:rsid w:val="00914251"/>
    <w:rsid w:val="00916D40"/>
    <w:rsid w:val="0091798A"/>
    <w:rsid w:val="00917B79"/>
    <w:rsid w:val="00917E1E"/>
    <w:rsid w:val="00920082"/>
    <w:rsid w:val="00920A3E"/>
    <w:rsid w:val="009213F7"/>
    <w:rsid w:val="00924962"/>
    <w:rsid w:val="0092505C"/>
    <w:rsid w:val="00925C83"/>
    <w:rsid w:val="00930DAF"/>
    <w:rsid w:val="009317D3"/>
    <w:rsid w:val="009345C4"/>
    <w:rsid w:val="00934F7C"/>
    <w:rsid w:val="009361E9"/>
    <w:rsid w:val="009437A1"/>
    <w:rsid w:val="0094399B"/>
    <w:rsid w:val="009466B7"/>
    <w:rsid w:val="009468CF"/>
    <w:rsid w:val="00950207"/>
    <w:rsid w:val="009502F5"/>
    <w:rsid w:val="00950763"/>
    <w:rsid w:val="009574D8"/>
    <w:rsid w:val="009607CD"/>
    <w:rsid w:val="009636AC"/>
    <w:rsid w:val="009650C6"/>
    <w:rsid w:val="00965E80"/>
    <w:rsid w:val="009663A8"/>
    <w:rsid w:val="009710FB"/>
    <w:rsid w:val="0097270E"/>
    <w:rsid w:val="009741BD"/>
    <w:rsid w:val="00977961"/>
    <w:rsid w:val="0098129C"/>
    <w:rsid w:val="0098382A"/>
    <w:rsid w:val="0098776F"/>
    <w:rsid w:val="009908D8"/>
    <w:rsid w:val="00991B5F"/>
    <w:rsid w:val="00993748"/>
    <w:rsid w:val="00997414"/>
    <w:rsid w:val="009A1572"/>
    <w:rsid w:val="009A29D0"/>
    <w:rsid w:val="009A39D3"/>
    <w:rsid w:val="009A5653"/>
    <w:rsid w:val="009A5989"/>
    <w:rsid w:val="009A7EB2"/>
    <w:rsid w:val="009B02A4"/>
    <w:rsid w:val="009B2709"/>
    <w:rsid w:val="009B2DBF"/>
    <w:rsid w:val="009B4714"/>
    <w:rsid w:val="009B4C8C"/>
    <w:rsid w:val="009B5424"/>
    <w:rsid w:val="009B64E2"/>
    <w:rsid w:val="009B68AE"/>
    <w:rsid w:val="009C0223"/>
    <w:rsid w:val="009C29FF"/>
    <w:rsid w:val="009C2CE9"/>
    <w:rsid w:val="009C47B4"/>
    <w:rsid w:val="009C4A4E"/>
    <w:rsid w:val="009C4D53"/>
    <w:rsid w:val="009C5EBB"/>
    <w:rsid w:val="009C6AE0"/>
    <w:rsid w:val="009C6D64"/>
    <w:rsid w:val="009C75B7"/>
    <w:rsid w:val="009C7B2D"/>
    <w:rsid w:val="009D0759"/>
    <w:rsid w:val="009D284E"/>
    <w:rsid w:val="009D3C3B"/>
    <w:rsid w:val="009D3F6B"/>
    <w:rsid w:val="009D5571"/>
    <w:rsid w:val="009D5593"/>
    <w:rsid w:val="009D6EBE"/>
    <w:rsid w:val="009E0A3D"/>
    <w:rsid w:val="009E0F52"/>
    <w:rsid w:val="009E1375"/>
    <w:rsid w:val="009E1686"/>
    <w:rsid w:val="009E1FC6"/>
    <w:rsid w:val="009E29B3"/>
    <w:rsid w:val="009E2DDF"/>
    <w:rsid w:val="009E33F6"/>
    <w:rsid w:val="009E42DE"/>
    <w:rsid w:val="009E47DB"/>
    <w:rsid w:val="009E4E02"/>
    <w:rsid w:val="009F1224"/>
    <w:rsid w:val="009F2259"/>
    <w:rsid w:val="009F4C24"/>
    <w:rsid w:val="009F4CB0"/>
    <w:rsid w:val="009F63AE"/>
    <w:rsid w:val="00A02583"/>
    <w:rsid w:val="00A04325"/>
    <w:rsid w:val="00A11D30"/>
    <w:rsid w:val="00A12DDE"/>
    <w:rsid w:val="00A20376"/>
    <w:rsid w:val="00A21035"/>
    <w:rsid w:val="00A2120B"/>
    <w:rsid w:val="00A21608"/>
    <w:rsid w:val="00A236D4"/>
    <w:rsid w:val="00A24189"/>
    <w:rsid w:val="00A242A8"/>
    <w:rsid w:val="00A25717"/>
    <w:rsid w:val="00A26835"/>
    <w:rsid w:val="00A31EC9"/>
    <w:rsid w:val="00A36864"/>
    <w:rsid w:val="00A36E6B"/>
    <w:rsid w:val="00A40533"/>
    <w:rsid w:val="00A413AF"/>
    <w:rsid w:val="00A42237"/>
    <w:rsid w:val="00A42DCE"/>
    <w:rsid w:val="00A445BF"/>
    <w:rsid w:val="00A448F2"/>
    <w:rsid w:val="00A47294"/>
    <w:rsid w:val="00A47EAD"/>
    <w:rsid w:val="00A51629"/>
    <w:rsid w:val="00A5540B"/>
    <w:rsid w:val="00A56761"/>
    <w:rsid w:val="00A56BF6"/>
    <w:rsid w:val="00A57A30"/>
    <w:rsid w:val="00A634E4"/>
    <w:rsid w:val="00A6586C"/>
    <w:rsid w:val="00A66391"/>
    <w:rsid w:val="00A74491"/>
    <w:rsid w:val="00A74F2F"/>
    <w:rsid w:val="00A764FC"/>
    <w:rsid w:val="00A802BC"/>
    <w:rsid w:val="00A85085"/>
    <w:rsid w:val="00A85E74"/>
    <w:rsid w:val="00A864FE"/>
    <w:rsid w:val="00A86B12"/>
    <w:rsid w:val="00A87442"/>
    <w:rsid w:val="00A91620"/>
    <w:rsid w:val="00A9178C"/>
    <w:rsid w:val="00A94E70"/>
    <w:rsid w:val="00A9550A"/>
    <w:rsid w:val="00A95A19"/>
    <w:rsid w:val="00A95D32"/>
    <w:rsid w:val="00A95F81"/>
    <w:rsid w:val="00A961F8"/>
    <w:rsid w:val="00A969B9"/>
    <w:rsid w:val="00A97DD8"/>
    <w:rsid w:val="00AA152E"/>
    <w:rsid w:val="00AA21D6"/>
    <w:rsid w:val="00AA552D"/>
    <w:rsid w:val="00AA6990"/>
    <w:rsid w:val="00AA7497"/>
    <w:rsid w:val="00AB0B6E"/>
    <w:rsid w:val="00AB1281"/>
    <w:rsid w:val="00AB1408"/>
    <w:rsid w:val="00AB2781"/>
    <w:rsid w:val="00AB2EFB"/>
    <w:rsid w:val="00AB436D"/>
    <w:rsid w:val="00AB5628"/>
    <w:rsid w:val="00AB63A5"/>
    <w:rsid w:val="00AB7115"/>
    <w:rsid w:val="00AC23B1"/>
    <w:rsid w:val="00AC47FF"/>
    <w:rsid w:val="00AC521F"/>
    <w:rsid w:val="00AC56A0"/>
    <w:rsid w:val="00AD0561"/>
    <w:rsid w:val="00AD1021"/>
    <w:rsid w:val="00AD2219"/>
    <w:rsid w:val="00AD2F03"/>
    <w:rsid w:val="00AD3167"/>
    <w:rsid w:val="00AD68D0"/>
    <w:rsid w:val="00AD6A01"/>
    <w:rsid w:val="00AD7666"/>
    <w:rsid w:val="00AE06EA"/>
    <w:rsid w:val="00AE25AD"/>
    <w:rsid w:val="00AE5363"/>
    <w:rsid w:val="00AE55DA"/>
    <w:rsid w:val="00AE6262"/>
    <w:rsid w:val="00AE65F1"/>
    <w:rsid w:val="00AF0520"/>
    <w:rsid w:val="00AF3CF3"/>
    <w:rsid w:val="00AF3D59"/>
    <w:rsid w:val="00AF6D91"/>
    <w:rsid w:val="00AF794A"/>
    <w:rsid w:val="00B02385"/>
    <w:rsid w:val="00B03202"/>
    <w:rsid w:val="00B05F20"/>
    <w:rsid w:val="00B107F1"/>
    <w:rsid w:val="00B11892"/>
    <w:rsid w:val="00B12DD3"/>
    <w:rsid w:val="00B12F33"/>
    <w:rsid w:val="00B13958"/>
    <w:rsid w:val="00B13F41"/>
    <w:rsid w:val="00B14F65"/>
    <w:rsid w:val="00B1531E"/>
    <w:rsid w:val="00B17D87"/>
    <w:rsid w:val="00B25042"/>
    <w:rsid w:val="00B304C3"/>
    <w:rsid w:val="00B307AE"/>
    <w:rsid w:val="00B33D97"/>
    <w:rsid w:val="00B36D61"/>
    <w:rsid w:val="00B407DD"/>
    <w:rsid w:val="00B40B7B"/>
    <w:rsid w:val="00B40FB3"/>
    <w:rsid w:val="00B42236"/>
    <w:rsid w:val="00B443AB"/>
    <w:rsid w:val="00B44BBC"/>
    <w:rsid w:val="00B45507"/>
    <w:rsid w:val="00B46073"/>
    <w:rsid w:val="00B46916"/>
    <w:rsid w:val="00B47A16"/>
    <w:rsid w:val="00B52D7E"/>
    <w:rsid w:val="00B5345C"/>
    <w:rsid w:val="00B56766"/>
    <w:rsid w:val="00B60ED8"/>
    <w:rsid w:val="00B617C0"/>
    <w:rsid w:val="00B61E89"/>
    <w:rsid w:val="00B63246"/>
    <w:rsid w:val="00B67FE6"/>
    <w:rsid w:val="00B70311"/>
    <w:rsid w:val="00B70DBC"/>
    <w:rsid w:val="00B7130E"/>
    <w:rsid w:val="00B738FE"/>
    <w:rsid w:val="00B77E49"/>
    <w:rsid w:val="00B83E94"/>
    <w:rsid w:val="00B84976"/>
    <w:rsid w:val="00B85A6B"/>
    <w:rsid w:val="00B85B80"/>
    <w:rsid w:val="00B871AD"/>
    <w:rsid w:val="00B92758"/>
    <w:rsid w:val="00B92AB7"/>
    <w:rsid w:val="00B930D2"/>
    <w:rsid w:val="00B940A1"/>
    <w:rsid w:val="00B94862"/>
    <w:rsid w:val="00B94EA2"/>
    <w:rsid w:val="00B971E7"/>
    <w:rsid w:val="00B97F70"/>
    <w:rsid w:val="00BA26E3"/>
    <w:rsid w:val="00BA2D28"/>
    <w:rsid w:val="00BA2FFC"/>
    <w:rsid w:val="00BA30A2"/>
    <w:rsid w:val="00BA3FE4"/>
    <w:rsid w:val="00BA4165"/>
    <w:rsid w:val="00BA7E03"/>
    <w:rsid w:val="00BB1D03"/>
    <w:rsid w:val="00BB2A65"/>
    <w:rsid w:val="00BB39C2"/>
    <w:rsid w:val="00BB4F17"/>
    <w:rsid w:val="00BB609D"/>
    <w:rsid w:val="00BB625E"/>
    <w:rsid w:val="00BC22C2"/>
    <w:rsid w:val="00BC2538"/>
    <w:rsid w:val="00BC5B23"/>
    <w:rsid w:val="00BD1129"/>
    <w:rsid w:val="00BD1AB6"/>
    <w:rsid w:val="00BD3796"/>
    <w:rsid w:val="00BD4D7A"/>
    <w:rsid w:val="00BD63D3"/>
    <w:rsid w:val="00BE0B2C"/>
    <w:rsid w:val="00BE38BC"/>
    <w:rsid w:val="00BE58C2"/>
    <w:rsid w:val="00BF0E19"/>
    <w:rsid w:val="00BF10A0"/>
    <w:rsid w:val="00BF1DB4"/>
    <w:rsid w:val="00BF29E8"/>
    <w:rsid w:val="00BF470A"/>
    <w:rsid w:val="00C006E1"/>
    <w:rsid w:val="00C03290"/>
    <w:rsid w:val="00C03311"/>
    <w:rsid w:val="00C0348B"/>
    <w:rsid w:val="00C05853"/>
    <w:rsid w:val="00C0671D"/>
    <w:rsid w:val="00C07779"/>
    <w:rsid w:val="00C10B38"/>
    <w:rsid w:val="00C1465C"/>
    <w:rsid w:val="00C21D43"/>
    <w:rsid w:val="00C2299B"/>
    <w:rsid w:val="00C23108"/>
    <w:rsid w:val="00C25D95"/>
    <w:rsid w:val="00C27361"/>
    <w:rsid w:val="00C276D7"/>
    <w:rsid w:val="00C34697"/>
    <w:rsid w:val="00C36DC5"/>
    <w:rsid w:val="00C40BC2"/>
    <w:rsid w:val="00C41012"/>
    <w:rsid w:val="00C42BC9"/>
    <w:rsid w:val="00C44413"/>
    <w:rsid w:val="00C466E0"/>
    <w:rsid w:val="00C46D60"/>
    <w:rsid w:val="00C471E0"/>
    <w:rsid w:val="00C477D4"/>
    <w:rsid w:val="00C47D47"/>
    <w:rsid w:val="00C52026"/>
    <w:rsid w:val="00C54ECA"/>
    <w:rsid w:val="00C56347"/>
    <w:rsid w:val="00C56988"/>
    <w:rsid w:val="00C644C7"/>
    <w:rsid w:val="00C65EAC"/>
    <w:rsid w:val="00C67816"/>
    <w:rsid w:val="00C70D06"/>
    <w:rsid w:val="00C72B1B"/>
    <w:rsid w:val="00C74A93"/>
    <w:rsid w:val="00C767B8"/>
    <w:rsid w:val="00C80007"/>
    <w:rsid w:val="00C8033B"/>
    <w:rsid w:val="00C807AD"/>
    <w:rsid w:val="00C81349"/>
    <w:rsid w:val="00C8417F"/>
    <w:rsid w:val="00C84AC2"/>
    <w:rsid w:val="00C84B51"/>
    <w:rsid w:val="00C8500A"/>
    <w:rsid w:val="00C85A4F"/>
    <w:rsid w:val="00C86218"/>
    <w:rsid w:val="00C86271"/>
    <w:rsid w:val="00C8699A"/>
    <w:rsid w:val="00C86BA3"/>
    <w:rsid w:val="00C87084"/>
    <w:rsid w:val="00C90734"/>
    <w:rsid w:val="00C90E32"/>
    <w:rsid w:val="00C929AB"/>
    <w:rsid w:val="00C95FD7"/>
    <w:rsid w:val="00C96CFB"/>
    <w:rsid w:val="00C97887"/>
    <w:rsid w:val="00CA0393"/>
    <w:rsid w:val="00CA4C8F"/>
    <w:rsid w:val="00CA598E"/>
    <w:rsid w:val="00CA77E9"/>
    <w:rsid w:val="00CB0742"/>
    <w:rsid w:val="00CB0C69"/>
    <w:rsid w:val="00CB214F"/>
    <w:rsid w:val="00CB2D2B"/>
    <w:rsid w:val="00CB30F0"/>
    <w:rsid w:val="00CB49C3"/>
    <w:rsid w:val="00CB4E6F"/>
    <w:rsid w:val="00CB6AAD"/>
    <w:rsid w:val="00CB700C"/>
    <w:rsid w:val="00CC07C5"/>
    <w:rsid w:val="00CC08C4"/>
    <w:rsid w:val="00CC145D"/>
    <w:rsid w:val="00CC1BC5"/>
    <w:rsid w:val="00CC4A02"/>
    <w:rsid w:val="00CD13DF"/>
    <w:rsid w:val="00CD1CC3"/>
    <w:rsid w:val="00CD3196"/>
    <w:rsid w:val="00CD51D6"/>
    <w:rsid w:val="00CD5E72"/>
    <w:rsid w:val="00CD6BCA"/>
    <w:rsid w:val="00CE16CD"/>
    <w:rsid w:val="00CE2BED"/>
    <w:rsid w:val="00CE3580"/>
    <w:rsid w:val="00CE5358"/>
    <w:rsid w:val="00CE5AB3"/>
    <w:rsid w:val="00CE75A4"/>
    <w:rsid w:val="00CF122D"/>
    <w:rsid w:val="00CF3752"/>
    <w:rsid w:val="00CF6DF4"/>
    <w:rsid w:val="00D0037D"/>
    <w:rsid w:val="00D0384D"/>
    <w:rsid w:val="00D067B1"/>
    <w:rsid w:val="00D100BC"/>
    <w:rsid w:val="00D14A88"/>
    <w:rsid w:val="00D153A1"/>
    <w:rsid w:val="00D16143"/>
    <w:rsid w:val="00D21828"/>
    <w:rsid w:val="00D25B4E"/>
    <w:rsid w:val="00D261D4"/>
    <w:rsid w:val="00D277FF"/>
    <w:rsid w:val="00D3053A"/>
    <w:rsid w:val="00D30736"/>
    <w:rsid w:val="00D31755"/>
    <w:rsid w:val="00D322D3"/>
    <w:rsid w:val="00D33F71"/>
    <w:rsid w:val="00D33FEA"/>
    <w:rsid w:val="00D40325"/>
    <w:rsid w:val="00D41402"/>
    <w:rsid w:val="00D41B8C"/>
    <w:rsid w:val="00D42006"/>
    <w:rsid w:val="00D43940"/>
    <w:rsid w:val="00D43EF2"/>
    <w:rsid w:val="00D4658E"/>
    <w:rsid w:val="00D47170"/>
    <w:rsid w:val="00D511FD"/>
    <w:rsid w:val="00D5208B"/>
    <w:rsid w:val="00D547FD"/>
    <w:rsid w:val="00D55F26"/>
    <w:rsid w:val="00D56BC9"/>
    <w:rsid w:val="00D60C7A"/>
    <w:rsid w:val="00D61336"/>
    <w:rsid w:val="00D61485"/>
    <w:rsid w:val="00D61EB7"/>
    <w:rsid w:val="00D639BD"/>
    <w:rsid w:val="00D65A93"/>
    <w:rsid w:val="00D6701A"/>
    <w:rsid w:val="00D67BE5"/>
    <w:rsid w:val="00D74750"/>
    <w:rsid w:val="00D7663C"/>
    <w:rsid w:val="00D76DD9"/>
    <w:rsid w:val="00D77A8E"/>
    <w:rsid w:val="00D80061"/>
    <w:rsid w:val="00D818EC"/>
    <w:rsid w:val="00D82345"/>
    <w:rsid w:val="00D82B41"/>
    <w:rsid w:val="00D82EBF"/>
    <w:rsid w:val="00D838B0"/>
    <w:rsid w:val="00D8434A"/>
    <w:rsid w:val="00D846D3"/>
    <w:rsid w:val="00D84AEE"/>
    <w:rsid w:val="00D856ED"/>
    <w:rsid w:val="00D8579A"/>
    <w:rsid w:val="00D868A8"/>
    <w:rsid w:val="00D9051D"/>
    <w:rsid w:val="00D907D5"/>
    <w:rsid w:val="00D90AD7"/>
    <w:rsid w:val="00D927BC"/>
    <w:rsid w:val="00D956AB"/>
    <w:rsid w:val="00D974FD"/>
    <w:rsid w:val="00DA02FA"/>
    <w:rsid w:val="00DA1883"/>
    <w:rsid w:val="00DA1DE7"/>
    <w:rsid w:val="00DA57CA"/>
    <w:rsid w:val="00DA6341"/>
    <w:rsid w:val="00DA6EEE"/>
    <w:rsid w:val="00DA7F40"/>
    <w:rsid w:val="00DB1E5E"/>
    <w:rsid w:val="00DB5921"/>
    <w:rsid w:val="00DB6B98"/>
    <w:rsid w:val="00DC035C"/>
    <w:rsid w:val="00DC13B2"/>
    <w:rsid w:val="00DC1675"/>
    <w:rsid w:val="00DC2645"/>
    <w:rsid w:val="00DC3B6C"/>
    <w:rsid w:val="00DC5341"/>
    <w:rsid w:val="00DC751C"/>
    <w:rsid w:val="00DC757B"/>
    <w:rsid w:val="00DC79FB"/>
    <w:rsid w:val="00DD03E2"/>
    <w:rsid w:val="00DD1760"/>
    <w:rsid w:val="00DD1A0A"/>
    <w:rsid w:val="00DD3D94"/>
    <w:rsid w:val="00DD4AF8"/>
    <w:rsid w:val="00DE0735"/>
    <w:rsid w:val="00DE0B73"/>
    <w:rsid w:val="00DE0E91"/>
    <w:rsid w:val="00DE151F"/>
    <w:rsid w:val="00DE1BAB"/>
    <w:rsid w:val="00DE26DD"/>
    <w:rsid w:val="00DE301D"/>
    <w:rsid w:val="00DE31CF"/>
    <w:rsid w:val="00DE382F"/>
    <w:rsid w:val="00DE428E"/>
    <w:rsid w:val="00DE4E03"/>
    <w:rsid w:val="00DE6EEE"/>
    <w:rsid w:val="00DE6FA2"/>
    <w:rsid w:val="00DF3638"/>
    <w:rsid w:val="00DF46D7"/>
    <w:rsid w:val="00DF5181"/>
    <w:rsid w:val="00DF53C6"/>
    <w:rsid w:val="00E0070B"/>
    <w:rsid w:val="00E012D8"/>
    <w:rsid w:val="00E013EB"/>
    <w:rsid w:val="00E01AFE"/>
    <w:rsid w:val="00E04AAB"/>
    <w:rsid w:val="00E05F68"/>
    <w:rsid w:val="00E0661D"/>
    <w:rsid w:val="00E068FE"/>
    <w:rsid w:val="00E11E56"/>
    <w:rsid w:val="00E12287"/>
    <w:rsid w:val="00E12E7C"/>
    <w:rsid w:val="00E132AD"/>
    <w:rsid w:val="00E14A87"/>
    <w:rsid w:val="00E14F1C"/>
    <w:rsid w:val="00E15C92"/>
    <w:rsid w:val="00E17CB7"/>
    <w:rsid w:val="00E225DB"/>
    <w:rsid w:val="00E232D3"/>
    <w:rsid w:val="00E23456"/>
    <w:rsid w:val="00E24844"/>
    <w:rsid w:val="00E253A3"/>
    <w:rsid w:val="00E255B6"/>
    <w:rsid w:val="00E27B4C"/>
    <w:rsid w:val="00E305A8"/>
    <w:rsid w:val="00E308D6"/>
    <w:rsid w:val="00E37151"/>
    <w:rsid w:val="00E40284"/>
    <w:rsid w:val="00E403D2"/>
    <w:rsid w:val="00E41B8B"/>
    <w:rsid w:val="00E42D1E"/>
    <w:rsid w:val="00E44BE2"/>
    <w:rsid w:val="00E45082"/>
    <w:rsid w:val="00E47E83"/>
    <w:rsid w:val="00E5054F"/>
    <w:rsid w:val="00E50979"/>
    <w:rsid w:val="00E51BA8"/>
    <w:rsid w:val="00E5293A"/>
    <w:rsid w:val="00E5346B"/>
    <w:rsid w:val="00E53550"/>
    <w:rsid w:val="00E53C7A"/>
    <w:rsid w:val="00E56F3A"/>
    <w:rsid w:val="00E61AF7"/>
    <w:rsid w:val="00E64675"/>
    <w:rsid w:val="00E64A28"/>
    <w:rsid w:val="00E6735F"/>
    <w:rsid w:val="00E7320E"/>
    <w:rsid w:val="00E76F28"/>
    <w:rsid w:val="00E80794"/>
    <w:rsid w:val="00E81876"/>
    <w:rsid w:val="00E8203A"/>
    <w:rsid w:val="00E851CB"/>
    <w:rsid w:val="00E866EF"/>
    <w:rsid w:val="00E87980"/>
    <w:rsid w:val="00E87E1C"/>
    <w:rsid w:val="00E902C5"/>
    <w:rsid w:val="00E90974"/>
    <w:rsid w:val="00E91EDE"/>
    <w:rsid w:val="00E92E89"/>
    <w:rsid w:val="00E95160"/>
    <w:rsid w:val="00E9572A"/>
    <w:rsid w:val="00E961DA"/>
    <w:rsid w:val="00E969CF"/>
    <w:rsid w:val="00E97A7E"/>
    <w:rsid w:val="00EA2FD9"/>
    <w:rsid w:val="00EA40E8"/>
    <w:rsid w:val="00EA47EA"/>
    <w:rsid w:val="00EA51EB"/>
    <w:rsid w:val="00EA6B75"/>
    <w:rsid w:val="00EA6CDE"/>
    <w:rsid w:val="00EA7E6C"/>
    <w:rsid w:val="00EB0668"/>
    <w:rsid w:val="00EB1B90"/>
    <w:rsid w:val="00EB23C4"/>
    <w:rsid w:val="00EB35FB"/>
    <w:rsid w:val="00EB46E7"/>
    <w:rsid w:val="00EB56FB"/>
    <w:rsid w:val="00EB63D1"/>
    <w:rsid w:val="00EB6AA0"/>
    <w:rsid w:val="00EC0992"/>
    <w:rsid w:val="00EC7BAE"/>
    <w:rsid w:val="00ED1129"/>
    <w:rsid w:val="00ED3F37"/>
    <w:rsid w:val="00ED6612"/>
    <w:rsid w:val="00ED68E4"/>
    <w:rsid w:val="00ED7412"/>
    <w:rsid w:val="00ED7CB1"/>
    <w:rsid w:val="00EE3E26"/>
    <w:rsid w:val="00EE3FB3"/>
    <w:rsid w:val="00EE5488"/>
    <w:rsid w:val="00EE57CD"/>
    <w:rsid w:val="00EE6BB0"/>
    <w:rsid w:val="00EF0E9E"/>
    <w:rsid w:val="00EF39D0"/>
    <w:rsid w:val="00EF3F46"/>
    <w:rsid w:val="00EF60D9"/>
    <w:rsid w:val="00F00C32"/>
    <w:rsid w:val="00F00EDD"/>
    <w:rsid w:val="00F01094"/>
    <w:rsid w:val="00F01D7E"/>
    <w:rsid w:val="00F028E7"/>
    <w:rsid w:val="00F02AA1"/>
    <w:rsid w:val="00F11D6A"/>
    <w:rsid w:val="00F121E1"/>
    <w:rsid w:val="00F126D8"/>
    <w:rsid w:val="00F15BB3"/>
    <w:rsid w:val="00F171B9"/>
    <w:rsid w:val="00F17356"/>
    <w:rsid w:val="00F17F52"/>
    <w:rsid w:val="00F26A2B"/>
    <w:rsid w:val="00F27A59"/>
    <w:rsid w:val="00F31DE9"/>
    <w:rsid w:val="00F33F02"/>
    <w:rsid w:val="00F37B85"/>
    <w:rsid w:val="00F415B8"/>
    <w:rsid w:val="00F42497"/>
    <w:rsid w:val="00F4443C"/>
    <w:rsid w:val="00F46B32"/>
    <w:rsid w:val="00F47DFF"/>
    <w:rsid w:val="00F50B16"/>
    <w:rsid w:val="00F53FEF"/>
    <w:rsid w:val="00F54B13"/>
    <w:rsid w:val="00F552E4"/>
    <w:rsid w:val="00F576B6"/>
    <w:rsid w:val="00F608B1"/>
    <w:rsid w:val="00F60911"/>
    <w:rsid w:val="00F63153"/>
    <w:rsid w:val="00F64810"/>
    <w:rsid w:val="00F65F33"/>
    <w:rsid w:val="00F67F77"/>
    <w:rsid w:val="00F700B7"/>
    <w:rsid w:val="00F709B3"/>
    <w:rsid w:val="00F74EF4"/>
    <w:rsid w:val="00F75011"/>
    <w:rsid w:val="00F82D27"/>
    <w:rsid w:val="00F8388E"/>
    <w:rsid w:val="00F848D8"/>
    <w:rsid w:val="00F865EB"/>
    <w:rsid w:val="00F87F50"/>
    <w:rsid w:val="00F9067A"/>
    <w:rsid w:val="00F93B2F"/>
    <w:rsid w:val="00F93C9E"/>
    <w:rsid w:val="00F94E55"/>
    <w:rsid w:val="00F95B8B"/>
    <w:rsid w:val="00FA12A7"/>
    <w:rsid w:val="00FA1570"/>
    <w:rsid w:val="00FA23D3"/>
    <w:rsid w:val="00FA2DDE"/>
    <w:rsid w:val="00FA4568"/>
    <w:rsid w:val="00FA750D"/>
    <w:rsid w:val="00FB019A"/>
    <w:rsid w:val="00FB10A9"/>
    <w:rsid w:val="00FB27FE"/>
    <w:rsid w:val="00FB3A38"/>
    <w:rsid w:val="00FB5943"/>
    <w:rsid w:val="00FB70A9"/>
    <w:rsid w:val="00FB7346"/>
    <w:rsid w:val="00FB77C6"/>
    <w:rsid w:val="00FB7F47"/>
    <w:rsid w:val="00FC21D6"/>
    <w:rsid w:val="00FC4AFF"/>
    <w:rsid w:val="00FC589E"/>
    <w:rsid w:val="00FD033A"/>
    <w:rsid w:val="00FD0545"/>
    <w:rsid w:val="00FD2313"/>
    <w:rsid w:val="00FD29B0"/>
    <w:rsid w:val="00FD2DD7"/>
    <w:rsid w:val="00FD30FA"/>
    <w:rsid w:val="00FD3777"/>
    <w:rsid w:val="00FD42DA"/>
    <w:rsid w:val="00FD6A62"/>
    <w:rsid w:val="00FD6A67"/>
    <w:rsid w:val="00FD75B5"/>
    <w:rsid w:val="00FE132C"/>
    <w:rsid w:val="00FE1771"/>
    <w:rsid w:val="00FE34FC"/>
    <w:rsid w:val="00FE40EB"/>
    <w:rsid w:val="00FE4294"/>
    <w:rsid w:val="00FE668E"/>
    <w:rsid w:val="00FF0D69"/>
    <w:rsid w:val="00FF0FDF"/>
    <w:rsid w:val="00FF1D41"/>
    <w:rsid w:val="00FF2A38"/>
    <w:rsid w:val="00FF33B8"/>
    <w:rsid w:val="00FF4219"/>
    <w:rsid w:val="00FF46F7"/>
    <w:rsid w:val="00FF4AC6"/>
    <w:rsid w:val="021653B1"/>
    <w:rsid w:val="026223A4"/>
    <w:rsid w:val="02E96621"/>
    <w:rsid w:val="02F23728"/>
    <w:rsid w:val="030D3698"/>
    <w:rsid w:val="039C3694"/>
    <w:rsid w:val="04B8229C"/>
    <w:rsid w:val="05113FA8"/>
    <w:rsid w:val="05413A34"/>
    <w:rsid w:val="05557F9E"/>
    <w:rsid w:val="058D14E6"/>
    <w:rsid w:val="05A91FD1"/>
    <w:rsid w:val="07027CB2"/>
    <w:rsid w:val="07960AE4"/>
    <w:rsid w:val="08005FEA"/>
    <w:rsid w:val="095A2027"/>
    <w:rsid w:val="09A431DE"/>
    <w:rsid w:val="0A3D172D"/>
    <w:rsid w:val="0A911A78"/>
    <w:rsid w:val="0B2A2AC3"/>
    <w:rsid w:val="0BE5207C"/>
    <w:rsid w:val="0CA912DD"/>
    <w:rsid w:val="0CF81382"/>
    <w:rsid w:val="0D9D24E2"/>
    <w:rsid w:val="0DAD509E"/>
    <w:rsid w:val="0E7E4A75"/>
    <w:rsid w:val="0F664178"/>
    <w:rsid w:val="10394744"/>
    <w:rsid w:val="103F5AD3"/>
    <w:rsid w:val="10AF4A06"/>
    <w:rsid w:val="10CC380A"/>
    <w:rsid w:val="10D12BCF"/>
    <w:rsid w:val="10EF74F9"/>
    <w:rsid w:val="11361987"/>
    <w:rsid w:val="11B3650A"/>
    <w:rsid w:val="13587F7D"/>
    <w:rsid w:val="13DA623E"/>
    <w:rsid w:val="14117786"/>
    <w:rsid w:val="14B5472F"/>
    <w:rsid w:val="14E72444"/>
    <w:rsid w:val="160E0421"/>
    <w:rsid w:val="169326D4"/>
    <w:rsid w:val="16BC1C19"/>
    <w:rsid w:val="16EA49EA"/>
    <w:rsid w:val="17654071"/>
    <w:rsid w:val="17F83137"/>
    <w:rsid w:val="18001FEB"/>
    <w:rsid w:val="18C63235"/>
    <w:rsid w:val="19597C05"/>
    <w:rsid w:val="1A040805"/>
    <w:rsid w:val="1AE9461B"/>
    <w:rsid w:val="1B3A3A25"/>
    <w:rsid w:val="1B642891"/>
    <w:rsid w:val="1BAA4748"/>
    <w:rsid w:val="1BAD5031"/>
    <w:rsid w:val="1DA376A1"/>
    <w:rsid w:val="1E032835"/>
    <w:rsid w:val="1E0345E3"/>
    <w:rsid w:val="1E6C3F37"/>
    <w:rsid w:val="1F617895"/>
    <w:rsid w:val="1FE03657"/>
    <w:rsid w:val="209239FD"/>
    <w:rsid w:val="212154AC"/>
    <w:rsid w:val="21F030D1"/>
    <w:rsid w:val="22A04AF7"/>
    <w:rsid w:val="22D16A5E"/>
    <w:rsid w:val="22DF561F"/>
    <w:rsid w:val="2360375E"/>
    <w:rsid w:val="24D654E6"/>
    <w:rsid w:val="268528D3"/>
    <w:rsid w:val="26B1396B"/>
    <w:rsid w:val="26FC6074"/>
    <w:rsid w:val="27897907"/>
    <w:rsid w:val="27B01338"/>
    <w:rsid w:val="28757E8C"/>
    <w:rsid w:val="289F315B"/>
    <w:rsid w:val="28B27332"/>
    <w:rsid w:val="2AF23A16"/>
    <w:rsid w:val="2B204A27"/>
    <w:rsid w:val="2B2F07C6"/>
    <w:rsid w:val="2B51698E"/>
    <w:rsid w:val="2C1005F7"/>
    <w:rsid w:val="2C184F58"/>
    <w:rsid w:val="2C3E1AF5"/>
    <w:rsid w:val="2C564697"/>
    <w:rsid w:val="2C8608B9"/>
    <w:rsid w:val="2CB92F2C"/>
    <w:rsid w:val="2CC31B0E"/>
    <w:rsid w:val="2D0B0DBF"/>
    <w:rsid w:val="2D3A16A4"/>
    <w:rsid w:val="2D8C38C5"/>
    <w:rsid w:val="2DF9330D"/>
    <w:rsid w:val="2E1F2D74"/>
    <w:rsid w:val="2E254102"/>
    <w:rsid w:val="2ED718A0"/>
    <w:rsid w:val="2F8C4439"/>
    <w:rsid w:val="30760C45"/>
    <w:rsid w:val="30896BCA"/>
    <w:rsid w:val="309D1C07"/>
    <w:rsid w:val="31386B7F"/>
    <w:rsid w:val="32233065"/>
    <w:rsid w:val="3240775C"/>
    <w:rsid w:val="33776F34"/>
    <w:rsid w:val="342509B8"/>
    <w:rsid w:val="34321327"/>
    <w:rsid w:val="34B33196"/>
    <w:rsid w:val="34CA155F"/>
    <w:rsid w:val="34D177D9"/>
    <w:rsid w:val="34FA0097"/>
    <w:rsid w:val="364D41F6"/>
    <w:rsid w:val="380B4369"/>
    <w:rsid w:val="384D4981"/>
    <w:rsid w:val="38BB18EB"/>
    <w:rsid w:val="392F4087"/>
    <w:rsid w:val="397523E2"/>
    <w:rsid w:val="39D37108"/>
    <w:rsid w:val="3A0E0140"/>
    <w:rsid w:val="3A190FBF"/>
    <w:rsid w:val="3A555D6F"/>
    <w:rsid w:val="3A9C5669"/>
    <w:rsid w:val="3B5B5607"/>
    <w:rsid w:val="3B686108"/>
    <w:rsid w:val="3BB52F69"/>
    <w:rsid w:val="3BD3519D"/>
    <w:rsid w:val="3CE77152"/>
    <w:rsid w:val="3D9D1A57"/>
    <w:rsid w:val="3E4906E9"/>
    <w:rsid w:val="3E6F5651"/>
    <w:rsid w:val="3F0D6C18"/>
    <w:rsid w:val="3FA1052C"/>
    <w:rsid w:val="40153FD6"/>
    <w:rsid w:val="404E74E8"/>
    <w:rsid w:val="407231D7"/>
    <w:rsid w:val="40833636"/>
    <w:rsid w:val="40D0614F"/>
    <w:rsid w:val="422332E3"/>
    <w:rsid w:val="42974749"/>
    <w:rsid w:val="43340C18"/>
    <w:rsid w:val="43792ACE"/>
    <w:rsid w:val="43A20373"/>
    <w:rsid w:val="4440539A"/>
    <w:rsid w:val="44901E7E"/>
    <w:rsid w:val="45870D06"/>
    <w:rsid w:val="459736E0"/>
    <w:rsid w:val="46E2098A"/>
    <w:rsid w:val="487E46E3"/>
    <w:rsid w:val="488F48B0"/>
    <w:rsid w:val="48D04F3E"/>
    <w:rsid w:val="4A7364C9"/>
    <w:rsid w:val="4ABB0340"/>
    <w:rsid w:val="4ADF76BB"/>
    <w:rsid w:val="4AFF1B0B"/>
    <w:rsid w:val="4C39104D"/>
    <w:rsid w:val="4CC27294"/>
    <w:rsid w:val="4D902EEE"/>
    <w:rsid w:val="4E7D0E90"/>
    <w:rsid w:val="4EA34EA3"/>
    <w:rsid w:val="4ECE7859"/>
    <w:rsid w:val="4F3D2C02"/>
    <w:rsid w:val="4F7A3E56"/>
    <w:rsid w:val="4FFA0AF3"/>
    <w:rsid w:val="506762F6"/>
    <w:rsid w:val="5079410E"/>
    <w:rsid w:val="510B7899"/>
    <w:rsid w:val="513B7615"/>
    <w:rsid w:val="51826FF2"/>
    <w:rsid w:val="52044D13"/>
    <w:rsid w:val="521D6D1B"/>
    <w:rsid w:val="5221680B"/>
    <w:rsid w:val="52290E16"/>
    <w:rsid w:val="524D5852"/>
    <w:rsid w:val="526D37FE"/>
    <w:rsid w:val="52A66D10"/>
    <w:rsid w:val="52AA4A52"/>
    <w:rsid w:val="530D6D8F"/>
    <w:rsid w:val="53486019"/>
    <w:rsid w:val="534E1882"/>
    <w:rsid w:val="538C05FC"/>
    <w:rsid w:val="53BB4A3D"/>
    <w:rsid w:val="53C41B44"/>
    <w:rsid w:val="53D0050C"/>
    <w:rsid w:val="54F975CB"/>
    <w:rsid w:val="555F5AA8"/>
    <w:rsid w:val="5579578F"/>
    <w:rsid w:val="567C6706"/>
    <w:rsid w:val="56876E58"/>
    <w:rsid w:val="57517B92"/>
    <w:rsid w:val="588531E3"/>
    <w:rsid w:val="58F8513C"/>
    <w:rsid w:val="59441882"/>
    <w:rsid w:val="596A6CE9"/>
    <w:rsid w:val="597D683D"/>
    <w:rsid w:val="59975605"/>
    <w:rsid w:val="5A791338"/>
    <w:rsid w:val="5A8E4C59"/>
    <w:rsid w:val="5B793214"/>
    <w:rsid w:val="5BEA2363"/>
    <w:rsid w:val="5C494DC6"/>
    <w:rsid w:val="5C6A7000"/>
    <w:rsid w:val="5CCF2B6A"/>
    <w:rsid w:val="5D2D2508"/>
    <w:rsid w:val="5D526412"/>
    <w:rsid w:val="5D683540"/>
    <w:rsid w:val="5D69550A"/>
    <w:rsid w:val="5D724A77"/>
    <w:rsid w:val="5DF60105"/>
    <w:rsid w:val="5E6737F7"/>
    <w:rsid w:val="5E736640"/>
    <w:rsid w:val="5F3A0F0C"/>
    <w:rsid w:val="5F48187B"/>
    <w:rsid w:val="5F893C41"/>
    <w:rsid w:val="5FB84458"/>
    <w:rsid w:val="5FB86FEB"/>
    <w:rsid w:val="5FC00AF2"/>
    <w:rsid w:val="602245B2"/>
    <w:rsid w:val="60AB0F51"/>
    <w:rsid w:val="612754C0"/>
    <w:rsid w:val="61573FF7"/>
    <w:rsid w:val="62037CDB"/>
    <w:rsid w:val="62207D8C"/>
    <w:rsid w:val="62850C62"/>
    <w:rsid w:val="62E54356"/>
    <w:rsid w:val="63AE011A"/>
    <w:rsid w:val="6401649C"/>
    <w:rsid w:val="64594F7D"/>
    <w:rsid w:val="646A5DEF"/>
    <w:rsid w:val="64FE4F6C"/>
    <w:rsid w:val="65562818"/>
    <w:rsid w:val="658C6239"/>
    <w:rsid w:val="66BB0B84"/>
    <w:rsid w:val="675B4115"/>
    <w:rsid w:val="67A91325"/>
    <w:rsid w:val="67AF7FBD"/>
    <w:rsid w:val="67D31EFE"/>
    <w:rsid w:val="683A33C3"/>
    <w:rsid w:val="687A0A27"/>
    <w:rsid w:val="68F93BE6"/>
    <w:rsid w:val="694700D1"/>
    <w:rsid w:val="695C54CD"/>
    <w:rsid w:val="6A3F1ACC"/>
    <w:rsid w:val="6B686544"/>
    <w:rsid w:val="6B6A4927"/>
    <w:rsid w:val="6B8754D9"/>
    <w:rsid w:val="6BA3608B"/>
    <w:rsid w:val="6C727F37"/>
    <w:rsid w:val="6EAD20A6"/>
    <w:rsid w:val="6F5222A2"/>
    <w:rsid w:val="6F6F69B0"/>
    <w:rsid w:val="6F871F4B"/>
    <w:rsid w:val="6F917ACB"/>
    <w:rsid w:val="6F973F7E"/>
    <w:rsid w:val="6FD902CD"/>
    <w:rsid w:val="70D72A5F"/>
    <w:rsid w:val="71184DC4"/>
    <w:rsid w:val="71793B16"/>
    <w:rsid w:val="71FD4747"/>
    <w:rsid w:val="7271123C"/>
    <w:rsid w:val="728C7879"/>
    <w:rsid w:val="73791BDB"/>
    <w:rsid w:val="741875F6"/>
    <w:rsid w:val="741B0EB4"/>
    <w:rsid w:val="74312486"/>
    <w:rsid w:val="74FA31C0"/>
    <w:rsid w:val="75792336"/>
    <w:rsid w:val="75EF25F8"/>
    <w:rsid w:val="76487F5B"/>
    <w:rsid w:val="767174B1"/>
    <w:rsid w:val="7762504C"/>
    <w:rsid w:val="77BA4E8B"/>
    <w:rsid w:val="77E3618D"/>
    <w:rsid w:val="780253A9"/>
    <w:rsid w:val="780B7492"/>
    <w:rsid w:val="793F5645"/>
    <w:rsid w:val="7A523156"/>
    <w:rsid w:val="7AA54114"/>
    <w:rsid w:val="7AC37AC6"/>
    <w:rsid w:val="7AE04C06"/>
    <w:rsid w:val="7B38059E"/>
    <w:rsid w:val="7C26155F"/>
    <w:rsid w:val="7CAF4890"/>
    <w:rsid w:val="7D562F5D"/>
    <w:rsid w:val="7DFA7D8C"/>
    <w:rsid w:val="7E525E1A"/>
    <w:rsid w:val="7E5F5E41"/>
    <w:rsid w:val="7E867872"/>
    <w:rsid w:val="7FAA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99E042"/>
  <w15:docId w15:val="{0A529BCE-74F9-479C-AEC6-7A9DD1B0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iPriority="0"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2">
    <w:name w:val="Normal"/>
    <w:qFormat/>
    <w:pPr>
      <w:widowControl w:val="0"/>
      <w:jc w:val="both"/>
    </w:pPr>
    <w:rPr>
      <w:rFonts w:asciiTheme="minorHAnsi" w:eastAsiaTheme="minorEastAsia" w:hAnsiTheme="minorHAnsi" w:cstheme="minorBidi"/>
      <w:kern w:val="2"/>
      <w:sz w:val="21"/>
      <w:szCs w:val="2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qFormat/>
    <w:pPr>
      <w:ind w:left="1680" w:hanging="210"/>
      <w:jc w:val="left"/>
    </w:pPr>
    <w:rPr>
      <w:rFonts w:ascii="Calibri" w:eastAsia="宋体" w:hAnsi="Calibri" w:cs="Times New Roman"/>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eastAsia="宋体" w:hAnsi="Calibri" w:cs="Times New Roman"/>
      <w:sz w:val="20"/>
      <w:szCs w:val="20"/>
    </w:rPr>
  </w:style>
  <w:style w:type="paragraph" w:styleId="aff7">
    <w:name w:val="Document Map"/>
    <w:basedOn w:val="aff2"/>
    <w:link w:val="aff8"/>
    <w:semiHidden/>
    <w:qFormat/>
    <w:pPr>
      <w:shd w:val="clear" w:color="auto" w:fill="000080"/>
    </w:pPr>
    <w:rPr>
      <w:rFonts w:ascii="Times New Roman" w:eastAsia="宋体" w:hAnsi="Times New Roman" w:cs="Times New Roman"/>
      <w:szCs w:val="24"/>
    </w:rPr>
  </w:style>
  <w:style w:type="paragraph" w:styleId="aff9">
    <w:name w:val="annotation text"/>
    <w:basedOn w:val="aff2"/>
    <w:link w:val="affa"/>
    <w:uiPriority w:val="99"/>
    <w:semiHidden/>
    <w:unhideWhenUsed/>
    <w:qFormat/>
    <w:pPr>
      <w:jc w:val="left"/>
    </w:pPr>
  </w:style>
  <w:style w:type="paragraph" w:styleId="6">
    <w:name w:val="index 6"/>
    <w:basedOn w:val="aff2"/>
    <w:next w:val="aff2"/>
    <w:qFormat/>
    <w:pPr>
      <w:ind w:left="1260" w:hanging="210"/>
      <w:jc w:val="left"/>
    </w:pPr>
    <w:rPr>
      <w:rFonts w:ascii="Calibri" w:eastAsia="宋体" w:hAnsi="Calibri" w:cs="Times New Roman"/>
      <w:sz w:val="20"/>
      <w:szCs w:val="20"/>
    </w:rPr>
  </w:style>
  <w:style w:type="paragraph" w:styleId="4">
    <w:name w:val="index 4"/>
    <w:basedOn w:val="aff2"/>
    <w:next w:val="aff2"/>
    <w:qFormat/>
    <w:pPr>
      <w:ind w:left="840" w:hanging="210"/>
      <w:jc w:val="left"/>
    </w:pPr>
    <w:rPr>
      <w:rFonts w:ascii="Calibri" w:eastAsia="宋体" w:hAnsi="Calibri" w:cs="Times New Roman"/>
      <w:sz w:val="20"/>
      <w:szCs w:val="20"/>
    </w:rPr>
  </w:style>
  <w:style w:type="paragraph" w:styleId="TOC3">
    <w:name w:val="toc 3"/>
    <w:basedOn w:val="aff2"/>
    <w:next w:val="aff2"/>
    <w:uiPriority w:val="39"/>
    <w:unhideWhenUsed/>
    <w:qFormat/>
    <w:pPr>
      <w:ind w:leftChars="400" w:left="840"/>
    </w:pPr>
  </w:style>
  <w:style w:type="paragraph" w:styleId="3">
    <w:name w:val="index 3"/>
    <w:basedOn w:val="aff2"/>
    <w:next w:val="aff2"/>
    <w:qFormat/>
    <w:pPr>
      <w:ind w:left="630" w:hanging="210"/>
      <w:jc w:val="left"/>
    </w:pPr>
    <w:rPr>
      <w:rFonts w:ascii="Calibri" w:eastAsia="宋体" w:hAnsi="Calibri" w:cs="Times New Roman"/>
      <w:sz w:val="20"/>
      <w:szCs w:val="20"/>
    </w:rPr>
  </w:style>
  <w:style w:type="paragraph" w:styleId="affb">
    <w:name w:val="endnote text"/>
    <w:basedOn w:val="aff2"/>
    <w:link w:val="affc"/>
    <w:semiHidden/>
    <w:qFormat/>
    <w:pPr>
      <w:snapToGrid w:val="0"/>
      <w:jc w:val="left"/>
    </w:pPr>
    <w:rPr>
      <w:rFonts w:ascii="Times New Roman" w:eastAsia="宋体" w:hAnsi="Times New Roman" w:cs="Times New Roman"/>
      <w:szCs w:val="24"/>
    </w:rPr>
  </w:style>
  <w:style w:type="paragraph" w:styleId="affd">
    <w:name w:val="Balloon Text"/>
    <w:basedOn w:val="aff2"/>
    <w:link w:val="affe"/>
    <w:qFormat/>
    <w:rPr>
      <w:rFonts w:ascii="Times New Roman" w:eastAsia="宋体" w:hAnsi="Times New Roman" w:cs="Times New Roman"/>
      <w:sz w:val="18"/>
      <w:szCs w:val="18"/>
      <w:lang w:val="zh-CN"/>
    </w:rPr>
  </w:style>
  <w:style w:type="paragraph" w:styleId="afff">
    <w:name w:val="footer"/>
    <w:basedOn w:val="aff2"/>
    <w:link w:val="afff0"/>
    <w:uiPriority w:val="99"/>
    <w:qFormat/>
    <w:pPr>
      <w:snapToGrid w:val="0"/>
      <w:ind w:rightChars="100" w:right="210"/>
      <w:jc w:val="right"/>
    </w:pPr>
    <w:rPr>
      <w:rFonts w:ascii="Times New Roman" w:eastAsia="宋体" w:hAnsi="Times New Roman" w:cs="Times New Roman"/>
      <w:sz w:val="18"/>
      <w:szCs w:val="18"/>
    </w:rPr>
  </w:style>
  <w:style w:type="paragraph" w:styleId="afff1">
    <w:name w:val="header"/>
    <w:basedOn w:val="aff2"/>
    <w:link w:val="afff2"/>
    <w:qFormat/>
    <w:pPr>
      <w:snapToGrid w:val="0"/>
      <w:jc w:val="left"/>
    </w:pPr>
    <w:rPr>
      <w:rFonts w:ascii="Times New Roman" w:eastAsia="宋体" w:hAnsi="Times New Roman" w:cs="Times New Roman"/>
      <w:sz w:val="18"/>
      <w:szCs w:val="18"/>
    </w:rPr>
  </w:style>
  <w:style w:type="paragraph" w:styleId="TOC1">
    <w:name w:val="toc 1"/>
    <w:basedOn w:val="aff2"/>
    <w:next w:val="aff2"/>
    <w:uiPriority w:val="39"/>
    <w:unhideWhenUsed/>
    <w:qFormat/>
  </w:style>
  <w:style w:type="paragraph" w:styleId="afff3">
    <w:name w:val="index heading"/>
    <w:basedOn w:val="aff2"/>
    <w:next w:val="1"/>
    <w:qFormat/>
    <w:pPr>
      <w:spacing w:before="120" w:after="120"/>
      <w:jc w:val="center"/>
    </w:pPr>
    <w:rPr>
      <w:rFonts w:ascii="Calibri" w:eastAsia="宋体" w:hAnsi="Calibri" w:cs="Times New Roman"/>
      <w:b/>
      <w:bCs/>
      <w:iCs/>
      <w:szCs w:val="20"/>
    </w:rPr>
  </w:style>
  <w:style w:type="paragraph" w:styleId="1">
    <w:name w:val="index 1"/>
    <w:basedOn w:val="aff2"/>
    <w:next w:val="aff2"/>
    <w:unhideWhenUsed/>
    <w:qFormat/>
  </w:style>
  <w:style w:type="paragraph" w:styleId="af">
    <w:name w:val="footnote text"/>
    <w:basedOn w:val="aff2"/>
    <w:link w:val="afff4"/>
    <w:qFormat/>
    <w:pPr>
      <w:numPr>
        <w:numId w:val="1"/>
      </w:numPr>
      <w:snapToGrid w:val="0"/>
      <w:jc w:val="left"/>
    </w:pPr>
    <w:rPr>
      <w:rFonts w:ascii="宋体" w:eastAsia="宋体" w:hAnsi="Times New Roman" w:cs="Times New Roman"/>
      <w:sz w:val="18"/>
      <w:szCs w:val="18"/>
    </w:rPr>
  </w:style>
  <w:style w:type="paragraph" w:styleId="7">
    <w:name w:val="index 7"/>
    <w:basedOn w:val="aff2"/>
    <w:next w:val="aff2"/>
    <w:qFormat/>
    <w:pPr>
      <w:ind w:left="1470" w:hanging="210"/>
      <w:jc w:val="left"/>
    </w:pPr>
    <w:rPr>
      <w:rFonts w:ascii="Calibri" w:eastAsia="宋体" w:hAnsi="Calibri" w:cs="Times New Roman"/>
      <w:sz w:val="20"/>
      <w:szCs w:val="20"/>
    </w:rPr>
  </w:style>
  <w:style w:type="paragraph" w:styleId="9">
    <w:name w:val="index 9"/>
    <w:basedOn w:val="aff2"/>
    <w:next w:val="aff2"/>
    <w:qFormat/>
    <w:pPr>
      <w:ind w:left="1890" w:hanging="210"/>
      <w:jc w:val="left"/>
    </w:pPr>
    <w:rPr>
      <w:rFonts w:ascii="Calibri" w:eastAsia="宋体" w:hAnsi="Calibri" w:cs="Times New Roman"/>
      <w:sz w:val="20"/>
      <w:szCs w:val="20"/>
    </w:rPr>
  </w:style>
  <w:style w:type="paragraph" w:styleId="TOC2">
    <w:name w:val="toc 2"/>
    <w:basedOn w:val="aff2"/>
    <w:next w:val="aff2"/>
    <w:uiPriority w:val="39"/>
    <w:unhideWhenUsed/>
    <w:qFormat/>
    <w:pPr>
      <w:ind w:leftChars="200" w:left="420"/>
    </w:pPr>
  </w:style>
  <w:style w:type="paragraph" w:styleId="20">
    <w:name w:val="index 2"/>
    <w:basedOn w:val="aff2"/>
    <w:next w:val="aff2"/>
    <w:qFormat/>
    <w:pPr>
      <w:ind w:left="420" w:hanging="210"/>
      <w:jc w:val="left"/>
    </w:pPr>
    <w:rPr>
      <w:rFonts w:ascii="Calibri" w:eastAsia="宋体" w:hAnsi="Calibri" w:cs="Times New Roman"/>
      <w:sz w:val="20"/>
      <w:szCs w:val="20"/>
    </w:rPr>
  </w:style>
  <w:style w:type="paragraph" w:styleId="afff5">
    <w:name w:val="annotation subject"/>
    <w:basedOn w:val="aff9"/>
    <w:next w:val="aff9"/>
    <w:link w:val="afff6"/>
    <w:uiPriority w:val="99"/>
    <w:semiHidden/>
    <w:unhideWhenUsed/>
    <w:qFormat/>
    <w:rPr>
      <w:b/>
      <w:bCs/>
    </w:rPr>
  </w:style>
  <w:style w:type="table" w:styleId="afff7">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8">
    <w:name w:val="endnote reference"/>
    <w:semiHidden/>
    <w:qFormat/>
    <w:rPr>
      <w:vertAlign w:val="superscript"/>
    </w:rPr>
  </w:style>
  <w:style w:type="character" w:styleId="afff9">
    <w:name w:val="page number"/>
    <w:qFormat/>
    <w:rPr>
      <w:rFonts w:ascii="Times New Roman" w:eastAsia="宋体" w:hAnsi="Times New Roman"/>
      <w:sz w:val="18"/>
    </w:rPr>
  </w:style>
  <w:style w:type="character" w:styleId="afffa">
    <w:name w:val="FollowedHyperlink"/>
    <w:qFormat/>
    <w:rPr>
      <w:color w:val="800080"/>
      <w:u w:val="single"/>
    </w:rPr>
  </w:style>
  <w:style w:type="character" w:styleId="afffb">
    <w:name w:val="Hyperlink"/>
    <w:uiPriority w:val="99"/>
    <w:qFormat/>
    <w:rPr>
      <w:color w:val="0000FF"/>
      <w:spacing w:val="0"/>
      <w:w w:val="100"/>
      <w:szCs w:val="21"/>
      <w:u w:val="single"/>
      <w:lang w:val="en-US" w:eastAsia="zh-CN"/>
    </w:rPr>
  </w:style>
  <w:style w:type="character" w:styleId="afffc">
    <w:name w:val="annotation reference"/>
    <w:basedOn w:val="aff3"/>
    <w:uiPriority w:val="99"/>
    <w:semiHidden/>
    <w:unhideWhenUsed/>
    <w:qFormat/>
    <w:rPr>
      <w:sz w:val="21"/>
      <w:szCs w:val="21"/>
    </w:rPr>
  </w:style>
  <w:style w:type="character" w:styleId="afffd">
    <w:name w:val="footnote reference"/>
    <w:semiHidden/>
    <w:qFormat/>
    <w:rPr>
      <w:vertAlign w:val="superscript"/>
    </w:rPr>
  </w:style>
  <w:style w:type="paragraph" w:customStyle="1" w:styleId="71">
    <w:name w:val="目录 71"/>
    <w:basedOn w:val="aff2"/>
    <w:next w:val="aff2"/>
    <w:semiHidden/>
    <w:qFormat/>
    <w:pPr>
      <w:tabs>
        <w:tab w:val="right" w:leader="dot" w:pos="9241"/>
      </w:tabs>
      <w:ind w:firstLineChars="500" w:firstLine="500"/>
      <w:jc w:val="left"/>
    </w:pPr>
    <w:rPr>
      <w:rFonts w:ascii="宋体" w:eastAsia="宋体" w:hAnsi="Times New Roman" w:cs="Times New Roman"/>
      <w:szCs w:val="21"/>
    </w:rPr>
  </w:style>
  <w:style w:type="character" w:customStyle="1" w:styleId="aff8">
    <w:name w:val="文档结构图 字符"/>
    <w:basedOn w:val="aff3"/>
    <w:link w:val="aff7"/>
    <w:semiHidden/>
    <w:qFormat/>
    <w:rPr>
      <w:rFonts w:ascii="Times New Roman" w:eastAsia="宋体" w:hAnsi="Times New Roman" w:cs="Times New Roman"/>
      <w:szCs w:val="24"/>
      <w:shd w:val="clear" w:color="auto" w:fill="000080"/>
    </w:rPr>
  </w:style>
  <w:style w:type="paragraph" w:customStyle="1" w:styleId="51">
    <w:name w:val="目录 51"/>
    <w:basedOn w:val="aff2"/>
    <w:next w:val="aff2"/>
    <w:semiHidden/>
    <w:qFormat/>
    <w:pPr>
      <w:tabs>
        <w:tab w:val="right" w:leader="dot" w:pos="9241"/>
      </w:tabs>
      <w:ind w:firstLineChars="300" w:firstLine="300"/>
      <w:jc w:val="left"/>
    </w:pPr>
    <w:rPr>
      <w:rFonts w:ascii="宋体" w:eastAsia="宋体" w:hAnsi="Times New Roman" w:cs="Times New Roman"/>
      <w:szCs w:val="21"/>
    </w:rPr>
  </w:style>
  <w:style w:type="paragraph" w:customStyle="1" w:styleId="31">
    <w:name w:val="目录 31"/>
    <w:basedOn w:val="aff2"/>
    <w:next w:val="aff2"/>
    <w:uiPriority w:val="39"/>
    <w:qFormat/>
    <w:pPr>
      <w:tabs>
        <w:tab w:val="right" w:leader="dot" w:pos="9241"/>
      </w:tabs>
      <w:ind w:firstLineChars="100" w:firstLine="100"/>
      <w:jc w:val="left"/>
    </w:pPr>
    <w:rPr>
      <w:rFonts w:ascii="宋体" w:eastAsia="宋体" w:hAnsi="Times New Roman" w:cs="Times New Roman"/>
      <w:szCs w:val="21"/>
    </w:rPr>
  </w:style>
  <w:style w:type="paragraph" w:customStyle="1" w:styleId="81">
    <w:name w:val="目录 81"/>
    <w:basedOn w:val="aff2"/>
    <w:next w:val="aff2"/>
    <w:semiHidden/>
    <w:qFormat/>
    <w:pPr>
      <w:tabs>
        <w:tab w:val="right" w:leader="dot" w:pos="9241"/>
      </w:tabs>
      <w:ind w:firstLineChars="600" w:firstLine="607"/>
      <w:jc w:val="left"/>
    </w:pPr>
    <w:rPr>
      <w:rFonts w:ascii="宋体" w:eastAsia="宋体" w:hAnsi="Times New Roman" w:cs="Times New Roman"/>
      <w:szCs w:val="21"/>
    </w:rPr>
  </w:style>
  <w:style w:type="character" w:customStyle="1" w:styleId="affc">
    <w:name w:val="尾注文本 字符"/>
    <w:basedOn w:val="aff3"/>
    <w:link w:val="affb"/>
    <w:semiHidden/>
    <w:qFormat/>
    <w:rPr>
      <w:rFonts w:ascii="Times New Roman" w:eastAsia="宋体" w:hAnsi="Times New Roman" w:cs="Times New Roman"/>
      <w:szCs w:val="24"/>
    </w:rPr>
  </w:style>
  <w:style w:type="character" w:customStyle="1" w:styleId="afff0">
    <w:name w:val="页脚 字符"/>
    <w:basedOn w:val="aff3"/>
    <w:link w:val="afff"/>
    <w:uiPriority w:val="99"/>
    <w:qFormat/>
    <w:rPr>
      <w:rFonts w:ascii="Times New Roman" w:eastAsia="宋体" w:hAnsi="Times New Roman" w:cs="Times New Roman"/>
      <w:sz w:val="18"/>
      <w:szCs w:val="18"/>
    </w:rPr>
  </w:style>
  <w:style w:type="character" w:customStyle="1" w:styleId="afff2">
    <w:name w:val="页眉 字符"/>
    <w:basedOn w:val="aff3"/>
    <w:link w:val="afff1"/>
    <w:qFormat/>
    <w:rPr>
      <w:rFonts w:ascii="Times New Roman" w:eastAsia="宋体" w:hAnsi="Times New Roman" w:cs="Times New Roman"/>
      <w:sz w:val="18"/>
      <w:szCs w:val="18"/>
    </w:rPr>
  </w:style>
  <w:style w:type="paragraph" w:customStyle="1" w:styleId="11">
    <w:name w:val="目录 11"/>
    <w:basedOn w:val="aff2"/>
    <w:next w:val="aff2"/>
    <w:uiPriority w:val="39"/>
    <w:qFormat/>
    <w:pPr>
      <w:tabs>
        <w:tab w:val="right" w:leader="dot" w:pos="9242"/>
      </w:tabs>
      <w:spacing w:beforeLines="25" w:before="25" w:afterLines="25" w:after="25"/>
      <w:jc w:val="left"/>
    </w:pPr>
    <w:rPr>
      <w:rFonts w:ascii="宋体" w:eastAsia="宋体" w:hAnsi="Times New Roman" w:cs="Times New Roman"/>
      <w:szCs w:val="21"/>
    </w:rPr>
  </w:style>
  <w:style w:type="paragraph" w:customStyle="1" w:styleId="41">
    <w:name w:val="目录 41"/>
    <w:basedOn w:val="aff2"/>
    <w:next w:val="aff2"/>
    <w:semiHidden/>
    <w:qFormat/>
    <w:pPr>
      <w:tabs>
        <w:tab w:val="right" w:leader="dot" w:pos="9241"/>
      </w:tabs>
      <w:ind w:firstLineChars="200" w:firstLine="200"/>
      <w:jc w:val="left"/>
    </w:pPr>
    <w:rPr>
      <w:rFonts w:ascii="宋体" w:eastAsia="宋体" w:hAnsi="Times New Roman" w:cs="Times New Roman"/>
      <w:szCs w:val="21"/>
    </w:rPr>
  </w:style>
  <w:style w:type="paragraph" w:customStyle="1" w:styleId="afffe">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ffe"/>
    <w:qFormat/>
    <w:rPr>
      <w:rFonts w:ascii="宋体" w:eastAsia="宋体" w:hAnsi="Times New Roman" w:cs="Times New Roman"/>
      <w:kern w:val="0"/>
      <w:szCs w:val="20"/>
    </w:rPr>
  </w:style>
  <w:style w:type="character" w:customStyle="1" w:styleId="afff4">
    <w:name w:val="脚注文本 字符"/>
    <w:basedOn w:val="aff3"/>
    <w:link w:val="af"/>
    <w:qFormat/>
    <w:rPr>
      <w:rFonts w:ascii="宋体" w:eastAsia="宋体" w:hAnsi="Times New Roman" w:cs="Times New Roman"/>
      <w:sz w:val="18"/>
      <w:szCs w:val="18"/>
    </w:rPr>
  </w:style>
  <w:style w:type="paragraph" w:customStyle="1" w:styleId="61">
    <w:name w:val="目录 61"/>
    <w:basedOn w:val="aff2"/>
    <w:next w:val="aff2"/>
    <w:semiHidden/>
    <w:qFormat/>
    <w:pPr>
      <w:tabs>
        <w:tab w:val="right" w:leader="dot" w:pos="9241"/>
      </w:tabs>
      <w:ind w:firstLineChars="400" w:firstLine="400"/>
      <w:jc w:val="left"/>
    </w:pPr>
    <w:rPr>
      <w:rFonts w:ascii="宋体" w:eastAsia="宋体" w:hAnsi="Times New Roman" w:cs="Times New Roman"/>
      <w:szCs w:val="21"/>
    </w:rPr>
  </w:style>
  <w:style w:type="paragraph" w:customStyle="1" w:styleId="21">
    <w:name w:val="目录 21"/>
    <w:basedOn w:val="aff2"/>
    <w:next w:val="aff2"/>
    <w:uiPriority w:val="39"/>
    <w:qFormat/>
    <w:pPr>
      <w:tabs>
        <w:tab w:val="right" w:leader="dot" w:pos="9242"/>
      </w:tabs>
    </w:pPr>
    <w:rPr>
      <w:rFonts w:ascii="宋体" w:eastAsia="宋体" w:hAnsi="Times New Roman" w:cs="Times New Roman"/>
      <w:szCs w:val="21"/>
    </w:rPr>
  </w:style>
  <w:style w:type="paragraph" w:customStyle="1" w:styleId="91">
    <w:name w:val="目录 91"/>
    <w:basedOn w:val="aff2"/>
    <w:next w:val="aff2"/>
    <w:semiHidden/>
    <w:qFormat/>
    <w:pPr>
      <w:ind w:left="1470"/>
      <w:jc w:val="left"/>
    </w:pPr>
    <w:rPr>
      <w:rFonts w:ascii="Times New Roman" w:eastAsia="宋体" w:hAnsi="Times New Roman" w:cs="Times New Roman"/>
      <w:sz w:val="20"/>
      <w:szCs w:val="20"/>
    </w:rPr>
  </w:style>
  <w:style w:type="paragraph" w:customStyle="1" w:styleId="a5">
    <w:name w:val="一级条标题"/>
    <w:next w:val="afffe"/>
    <w:qFormat/>
    <w:pPr>
      <w:numPr>
        <w:ilvl w:val="1"/>
        <w:numId w:val="2"/>
      </w:numPr>
      <w:spacing w:beforeLines="50" w:before="156" w:afterLines="50" w:after="156"/>
      <w:outlineLvl w:val="2"/>
    </w:pPr>
    <w:rPr>
      <w:rFonts w:ascii="黑体" w:eastAsia="黑体"/>
      <w:sz w:val="21"/>
      <w:szCs w:val="21"/>
    </w:rPr>
  </w:style>
  <w:style w:type="paragraph" w:customStyle="1" w:styleId="affff">
    <w:name w:val="标准书脚_奇数页"/>
    <w:qFormat/>
    <w:pPr>
      <w:spacing w:before="120"/>
      <w:ind w:right="198"/>
      <w:jc w:val="right"/>
    </w:pPr>
    <w:rPr>
      <w:rFonts w:ascii="宋体"/>
      <w:sz w:val="18"/>
      <w:szCs w:val="18"/>
    </w:rPr>
  </w:style>
  <w:style w:type="paragraph" w:customStyle="1" w:styleId="affff0">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e"/>
    <w:qFormat/>
    <w:pPr>
      <w:numPr>
        <w:numId w:val="2"/>
      </w:numPr>
      <w:spacing w:beforeLines="100" w:before="312" w:afterLines="100" w:after="312"/>
      <w:jc w:val="both"/>
      <w:outlineLvl w:val="1"/>
    </w:pPr>
    <w:rPr>
      <w:rFonts w:ascii="黑体" w:eastAsia="黑体"/>
      <w:sz w:val="21"/>
    </w:rPr>
  </w:style>
  <w:style w:type="paragraph" w:customStyle="1" w:styleId="affff1">
    <w:name w:val="二级条标题"/>
    <w:basedOn w:val="a5"/>
    <w:next w:val="afffe"/>
    <w:qFormat/>
    <w:pPr>
      <w:numPr>
        <w:ilvl w:val="0"/>
        <w:numId w:val="0"/>
      </w:numPr>
      <w:spacing w:before="50" w:after="50"/>
      <w:ind w:left="1985"/>
      <w:outlineLvl w:val="3"/>
    </w:p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ind w:left="833"/>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f2">
    <w:name w:val="目次、标准名称标题"/>
    <w:basedOn w:val="aff2"/>
    <w:next w:val="afffe"/>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7">
    <w:name w:val="三级条标题"/>
    <w:basedOn w:val="aff2"/>
    <w:next w:val="afffe"/>
    <w:qFormat/>
    <w:pPr>
      <w:widowControl/>
      <w:numPr>
        <w:ilvl w:val="3"/>
        <w:numId w:val="2"/>
      </w:numPr>
      <w:spacing w:beforeLines="50" w:before="50" w:afterLines="50" w:after="50"/>
      <w:jc w:val="left"/>
      <w:outlineLvl w:val="4"/>
    </w:pPr>
    <w:rPr>
      <w:rFonts w:ascii="黑体" w:eastAsia="黑体" w:hAnsi="Times New Roman" w:cs="Times New Roman"/>
      <w:kern w:val="0"/>
      <w:szCs w:val="21"/>
    </w:rPr>
  </w:style>
  <w:style w:type="paragraph" w:customStyle="1" w:styleId="a1">
    <w:name w:val="示例"/>
    <w:next w:val="affff3"/>
    <w:qFormat/>
    <w:pPr>
      <w:widowControl w:val="0"/>
      <w:numPr>
        <w:numId w:val="4"/>
      </w:numPr>
      <w:jc w:val="both"/>
    </w:pPr>
    <w:rPr>
      <w:rFonts w:ascii="宋体"/>
      <w:sz w:val="18"/>
      <w:szCs w:val="18"/>
    </w:rPr>
  </w:style>
  <w:style w:type="paragraph" w:customStyle="1" w:styleId="affff3">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fe"/>
    <w:qFormat/>
    <w:pPr>
      <w:numPr>
        <w:ilvl w:val="4"/>
      </w:numPr>
      <w:outlineLvl w:val="5"/>
    </w:pPr>
  </w:style>
  <w:style w:type="paragraph" w:customStyle="1" w:styleId="a9">
    <w:name w:val="五级条标题"/>
    <w:basedOn w:val="a8"/>
    <w:next w:val="afffe"/>
    <w:qFormat/>
    <w:pPr>
      <w:numPr>
        <w:ilvl w:val="5"/>
      </w:numPr>
      <w:outlineLvl w:val="6"/>
    </w:pPr>
  </w:style>
  <w:style w:type="paragraph" w:customStyle="1" w:styleId="aff1">
    <w:name w:val="注："/>
    <w:next w:val="afff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numPr>
        <w:ilvl w:val="2"/>
        <w:numId w:val="3"/>
      </w:numPr>
    </w:pPr>
    <w:rPr>
      <w:rFonts w:ascii="宋体" w:eastAsia="宋体" w:hAnsi="Times New Roman" w:cs="Times New Roman"/>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6">
    <w:name w:val="二级无"/>
    <w:basedOn w:val="affff1"/>
    <w:qFormat/>
    <w:pPr>
      <w:numPr>
        <w:ilvl w:val="2"/>
        <w:numId w:val="2"/>
      </w:numPr>
      <w:adjustRightInd w:val="0"/>
      <w:snapToGrid w:val="0"/>
      <w:spacing w:beforeLines="0" w:before="0" w:afterLines="0" w:after="0"/>
      <w:ind w:left="0"/>
    </w:pPr>
    <w:rPr>
      <w:rFonts w:ascii="宋体" w:eastAsia="宋体"/>
    </w:rPr>
  </w:style>
  <w:style w:type="paragraph" w:customStyle="1" w:styleId="affff4">
    <w:name w:val="注：（正文）"/>
    <w:basedOn w:val="aff1"/>
    <w:next w:val="afffe"/>
    <w:qFormat/>
  </w:style>
  <w:style w:type="paragraph" w:customStyle="1" w:styleId="a3">
    <w:name w:val="注×：（正文）"/>
    <w:qFormat/>
    <w:pPr>
      <w:numPr>
        <w:numId w:val="9"/>
      </w:numPr>
      <w:jc w:val="both"/>
    </w:pPr>
    <w:rPr>
      <w:rFonts w:ascii="宋体"/>
      <w:sz w:val="18"/>
      <w:szCs w:val="18"/>
    </w:rPr>
  </w:style>
  <w:style w:type="paragraph" w:customStyle="1" w:styleId="affff5">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6">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7">
    <w:name w:val="标准书脚_偶数页"/>
    <w:qFormat/>
    <w:pPr>
      <w:spacing w:before="120"/>
      <w:ind w:left="221"/>
    </w:pPr>
    <w:rPr>
      <w:rFonts w:ascii="宋体"/>
      <w:sz w:val="18"/>
      <w:szCs w:val="18"/>
    </w:rPr>
  </w:style>
  <w:style w:type="paragraph" w:customStyle="1" w:styleId="affff8">
    <w:name w:val="标准书眉_偶数页"/>
    <w:basedOn w:val="affff0"/>
    <w:next w:val="aff2"/>
    <w:qFormat/>
    <w:pPr>
      <w:jc w:val="left"/>
    </w:pPr>
  </w:style>
  <w:style w:type="paragraph" w:customStyle="1" w:styleId="affff9">
    <w:name w:val="标准书眉一"/>
    <w:qFormat/>
    <w:pPr>
      <w:jc w:val="both"/>
    </w:pPr>
  </w:style>
  <w:style w:type="paragraph" w:customStyle="1" w:styleId="affffa">
    <w:name w:val="参考文献"/>
    <w:basedOn w:val="aff2"/>
    <w:next w:val="afffe"/>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b">
    <w:name w:val="参考文献、索引标题"/>
    <w:basedOn w:val="aff2"/>
    <w:next w:val="afffe"/>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c">
    <w:name w:val="发布"/>
    <w:qFormat/>
    <w:rPr>
      <w:rFonts w:ascii="黑体" w:eastAsia="黑体"/>
      <w:spacing w:val="85"/>
      <w:w w:val="100"/>
      <w:position w:val="3"/>
      <w:sz w:val="28"/>
      <w:szCs w:val="28"/>
    </w:rPr>
  </w:style>
  <w:style w:type="paragraph" w:customStyle="1" w:styleId="affffd">
    <w:name w:val="发布部门"/>
    <w:next w:val="af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e">
    <w:name w:val="发布日期"/>
    <w:qFormat/>
    <w:pPr>
      <w:framePr w:w="3997" w:h="471" w:hRule="exact" w:vSpace="181" w:wrap="around" w:hAnchor="page" w:x="7089" w:y="14097" w:anchorLock="1"/>
    </w:pPr>
    <w:rPr>
      <w:rFonts w:eastAsia="黑体"/>
      <w:sz w:val="28"/>
    </w:rPr>
  </w:style>
  <w:style w:type="paragraph" w:customStyle="1" w:styleId="afffff">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1">
    <w:name w:val="封面标准英文名称"/>
    <w:basedOn w:val="afffff0"/>
    <w:qFormat/>
    <w:pPr>
      <w:framePr w:wrap="around"/>
      <w:spacing w:before="370" w:line="400" w:lineRule="exact"/>
    </w:pPr>
    <w:rPr>
      <w:rFonts w:ascii="Times New Roman"/>
      <w:sz w:val="28"/>
      <w:szCs w:val="28"/>
    </w:rPr>
  </w:style>
  <w:style w:type="paragraph" w:customStyle="1" w:styleId="afffff2">
    <w:name w:val="封面一致性程度标识"/>
    <w:basedOn w:val="afffff1"/>
    <w:qFormat/>
    <w:pPr>
      <w:framePr w:wrap="around"/>
      <w:spacing w:before="440"/>
    </w:pPr>
    <w:rPr>
      <w:rFonts w:ascii="宋体" w:eastAsia="宋体"/>
    </w:rPr>
  </w:style>
  <w:style w:type="paragraph" w:customStyle="1" w:styleId="afffff3">
    <w:name w:val="封面标准文稿类别"/>
    <w:basedOn w:val="afffff2"/>
    <w:qFormat/>
    <w:pPr>
      <w:framePr w:wrap="around"/>
      <w:spacing w:after="160" w:line="240" w:lineRule="auto"/>
    </w:pPr>
    <w:rPr>
      <w:sz w:val="24"/>
    </w:rPr>
  </w:style>
  <w:style w:type="paragraph" w:customStyle="1" w:styleId="afffff4">
    <w:name w:val="封面标准文稿编辑信息"/>
    <w:basedOn w:val="afffff3"/>
    <w:qFormat/>
    <w:pPr>
      <w:framePr w:wrap="around"/>
      <w:spacing w:before="180" w:line="180" w:lineRule="exact"/>
    </w:pPr>
    <w:rPr>
      <w:sz w:val="21"/>
    </w:rPr>
  </w:style>
  <w:style w:type="paragraph" w:customStyle="1" w:styleId="afffff5">
    <w:name w:val="封面正文"/>
    <w:qFormat/>
    <w:pPr>
      <w:jc w:val="both"/>
    </w:pPr>
  </w:style>
  <w:style w:type="paragraph" w:customStyle="1" w:styleId="af8">
    <w:name w:val="附录标识"/>
    <w:basedOn w:val="aff2"/>
    <w:next w:val="afffe"/>
    <w:qFormat/>
    <w:pPr>
      <w:keepNext/>
      <w:widowControl/>
      <w:numPr>
        <w:numId w:val="10"/>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fff6">
    <w:name w:val="附录标题"/>
    <w:basedOn w:val="afffe"/>
    <w:next w:val="afffe"/>
    <w:qFormat/>
    <w:pPr>
      <w:ind w:firstLineChars="0" w:firstLine="0"/>
      <w:jc w:val="center"/>
    </w:pPr>
    <w:rPr>
      <w:rFonts w:ascii="黑体" w:eastAsia="黑体"/>
    </w:rPr>
  </w:style>
  <w:style w:type="paragraph" w:customStyle="1" w:styleId="af5">
    <w:name w:val="附录表标号"/>
    <w:basedOn w:val="aff2"/>
    <w:next w:val="afffe"/>
    <w:qFormat/>
    <w:pPr>
      <w:numPr>
        <w:numId w:val="11"/>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6">
    <w:name w:val="附录表标题"/>
    <w:basedOn w:val="aff2"/>
    <w:next w:val="afffe"/>
    <w:qFormat/>
    <w:pPr>
      <w:numPr>
        <w:ilvl w:val="1"/>
        <w:numId w:val="11"/>
      </w:numPr>
      <w:tabs>
        <w:tab w:val="left" w:pos="180"/>
      </w:tabs>
      <w:spacing w:beforeLines="50" w:before="50" w:afterLines="50" w:after="50"/>
      <w:ind w:left="0" w:firstLine="0"/>
      <w:jc w:val="center"/>
    </w:pPr>
    <w:rPr>
      <w:rFonts w:ascii="黑体" w:eastAsia="黑体" w:hAnsi="Times New Roman" w:cs="Times New Roman"/>
      <w:szCs w:val="21"/>
    </w:rPr>
  </w:style>
  <w:style w:type="paragraph" w:customStyle="1" w:styleId="afb">
    <w:name w:val="附录二级条标题"/>
    <w:basedOn w:val="aff2"/>
    <w:next w:val="afffe"/>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hAnsi="Times New Roman" w:cs="Times New Roman"/>
      <w:kern w:val="21"/>
      <w:szCs w:val="20"/>
    </w:rPr>
  </w:style>
  <w:style w:type="paragraph" w:customStyle="1" w:styleId="afffff7">
    <w:name w:val="附录二级无"/>
    <w:basedOn w:val="afb"/>
    <w:qFormat/>
    <w:pPr>
      <w:tabs>
        <w:tab w:val="clear" w:pos="360"/>
      </w:tabs>
      <w:spacing w:beforeLines="0" w:before="0" w:afterLines="0" w:after="0"/>
    </w:pPr>
    <w:rPr>
      <w:rFonts w:ascii="宋体" w:eastAsia="宋体"/>
      <w:szCs w:val="21"/>
    </w:rPr>
  </w:style>
  <w:style w:type="paragraph" w:customStyle="1" w:styleId="afffff8">
    <w:name w:val="附录公式"/>
    <w:basedOn w:val="afffe"/>
    <w:next w:val="afffe"/>
    <w:link w:val="Char0"/>
    <w:qFormat/>
    <w:pPr>
      <w:ind w:firstLine="200"/>
      <w:jc w:val="right"/>
    </w:pPr>
    <w:rPr>
      <w:rFonts w:ascii="Times New Roman"/>
      <w:sz w:val="20"/>
    </w:rPr>
  </w:style>
  <w:style w:type="character" w:customStyle="1" w:styleId="Char0">
    <w:name w:val="附录公式 Char"/>
    <w:link w:val="afffff8"/>
    <w:qFormat/>
    <w:rPr>
      <w:rFonts w:ascii="Times New Roman" w:eastAsia="宋体" w:hAnsi="Times New Roman" w:cs="Times New Roman"/>
    </w:rPr>
  </w:style>
  <w:style w:type="paragraph" w:customStyle="1" w:styleId="afffff9">
    <w:name w:val="附录公式编号制表符"/>
    <w:basedOn w:val="aff2"/>
    <w:next w:val="afffe"/>
    <w:qFormat/>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c">
    <w:name w:val="附录三级条标题"/>
    <w:basedOn w:val="afb"/>
    <w:next w:val="afffe"/>
    <w:qFormat/>
    <w:pPr>
      <w:numPr>
        <w:ilvl w:val="4"/>
      </w:numPr>
      <w:outlineLvl w:val="4"/>
    </w:pPr>
  </w:style>
  <w:style w:type="paragraph" w:customStyle="1" w:styleId="afffffa">
    <w:name w:val="附录三级无"/>
    <w:basedOn w:val="afc"/>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fe"/>
    <w:qFormat/>
    <w:pPr>
      <w:numPr>
        <w:ilvl w:val="5"/>
      </w:numPr>
      <w:outlineLvl w:val="5"/>
    </w:pPr>
  </w:style>
  <w:style w:type="paragraph" w:customStyle="1" w:styleId="afffffb">
    <w:name w:val="附录四级无"/>
    <w:basedOn w:val="afd"/>
    <w:qFormat/>
    <w:pPr>
      <w:tabs>
        <w:tab w:val="clear" w:pos="360"/>
      </w:tabs>
      <w:spacing w:beforeLines="0" w:before="0" w:afterLines="0" w:after="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b">
    <w:name w:val="附录图标题"/>
    <w:basedOn w:val="aff2"/>
    <w:next w:val="afffe"/>
    <w:qFormat/>
    <w:pPr>
      <w:numPr>
        <w:ilvl w:val="1"/>
        <w:numId w:val="13"/>
      </w:numPr>
      <w:tabs>
        <w:tab w:val="left" w:pos="363"/>
      </w:tabs>
      <w:spacing w:beforeLines="50" w:before="50" w:afterLines="50" w:after="50"/>
      <w:jc w:val="center"/>
    </w:pPr>
    <w:rPr>
      <w:rFonts w:ascii="黑体" w:eastAsia="黑体" w:hAnsi="Times New Roman" w:cs="Times New Roman"/>
      <w:szCs w:val="21"/>
    </w:rPr>
  </w:style>
  <w:style w:type="paragraph" w:customStyle="1" w:styleId="afe">
    <w:name w:val="附录五级条标题"/>
    <w:basedOn w:val="afd"/>
    <w:next w:val="afffe"/>
    <w:qFormat/>
    <w:pPr>
      <w:numPr>
        <w:ilvl w:val="6"/>
      </w:numPr>
      <w:outlineLvl w:val="6"/>
    </w:pPr>
  </w:style>
  <w:style w:type="paragraph" w:customStyle="1" w:styleId="afffffc">
    <w:name w:val="附录五级无"/>
    <w:basedOn w:val="afe"/>
    <w:qFormat/>
    <w:pPr>
      <w:tabs>
        <w:tab w:val="clear" w:pos="360"/>
      </w:tabs>
      <w:spacing w:beforeLines="0" w:before="0" w:afterLines="0" w:after="0"/>
    </w:pPr>
    <w:rPr>
      <w:rFonts w:ascii="宋体" w:eastAsia="宋体"/>
      <w:szCs w:val="21"/>
    </w:rPr>
  </w:style>
  <w:style w:type="paragraph" w:customStyle="1" w:styleId="af9">
    <w:name w:val="附录章标题"/>
    <w:next w:val="afffe"/>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e"/>
    <w:qFormat/>
    <w:pPr>
      <w:numPr>
        <w:ilvl w:val="2"/>
      </w:numPr>
      <w:autoSpaceDN w:val="0"/>
      <w:spacing w:beforeLines="50" w:before="50" w:afterLines="50" w:after="50"/>
      <w:outlineLvl w:val="2"/>
    </w:pPr>
  </w:style>
  <w:style w:type="paragraph" w:customStyle="1" w:styleId="afffffd">
    <w:name w:val="附录一级无"/>
    <w:basedOn w:val="afa"/>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e">
    <w:name w:val="列项说明"/>
    <w:basedOn w:val="aff2"/>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
    <w:name w:val="列项说明数字编号"/>
    <w:qFormat/>
    <w:pPr>
      <w:ind w:leftChars="400" w:left="600" w:hangingChars="200" w:hanging="200"/>
    </w:pPr>
    <w:rPr>
      <w:rFonts w:ascii="宋体"/>
      <w:sz w:val="21"/>
    </w:rPr>
  </w:style>
  <w:style w:type="paragraph" w:customStyle="1" w:styleId="affffff0">
    <w:name w:val="目次、索引正文"/>
    <w:qFormat/>
    <w:pPr>
      <w:spacing w:line="320" w:lineRule="exact"/>
      <w:jc w:val="both"/>
    </w:pPr>
    <w:rPr>
      <w:rFonts w:ascii="宋体"/>
      <w:sz w:val="21"/>
    </w:rPr>
  </w:style>
  <w:style w:type="paragraph" w:customStyle="1" w:styleId="affffff1">
    <w:name w:val="其他标准标志"/>
    <w:basedOn w:val="affff5"/>
    <w:qFormat/>
    <w:pPr>
      <w:framePr w:w="6101" w:wrap="around" w:vAnchor="page" w:hAnchor="page" w:x="4673" w:y="942"/>
    </w:pPr>
    <w:rPr>
      <w:w w:val="130"/>
    </w:rPr>
  </w:style>
  <w:style w:type="paragraph" w:customStyle="1" w:styleId="affffff2">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3">
    <w:name w:val="其他发布部门"/>
    <w:basedOn w:val="affffd"/>
    <w:qFormat/>
    <w:pPr>
      <w:framePr w:wrap="around" w:y="15310"/>
      <w:spacing w:line="0" w:lineRule="atLeast"/>
    </w:pPr>
    <w:rPr>
      <w:rFonts w:ascii="黑体" w:eastAsia="黑体"/>
      <w:b w:val="0"/>
    </w:rPr>
  </w:style>
  <w:style w:type="paragraph" w:customStyle="1" w:styleId="affffff4">
    <w:name w:val="前言、引言标题"/>
    <w:next w:val="afffe"/>
    <w:qFormat/>
    <w:pPr>
      <w:keepNext/>
      <w:pageBreakBefore/>
      <w:shd w:val="clear" w:color="FFFFFF" w:fill="FFFFFF"/>
      <w:spacing w:before="640" w:after="560"/>
      <w:jc w:val="center"/>
      <w:outlineLvl w:val="0"/>
    </w:pPr>
    <w:rPr>
      <w:rFonts w:ascii="黑体" w:eastAsia="黑体"/>
      <w:sz w:val="32"/>
    </w:rPr>
  </w:style>
  <w:style w:type="paragraph" w:customStyle="1" w:styleId="affffff5">
    <w:name w:val="三级无"/>
    <w:basedOn w:val="a7"/>
    <w:qFormat/>
    <w:pPr>
      <w:spacing w:beforeLines="0" w:before="0" w:afterLines="0" w:after="0"/>
    </w:pPr>
    <w:rPr>
      <w:rFonts w:ascii="宋体" w:eastAsia="宋体"/>
    </w:rPr>
  </w:style>
  <w:style w:type="paragraph" w:customStyle="1" w:styleId="affffff6">
    <w:name w:val="实施日期"/>
    <w:basedOn w:val="affffe"/>
    <w:qFormat/>
    <w:pPr>
      <w:framePr w:wrap="around" w:vAnchor="page" w:hAnchor="text"/>
      <w:jc w:val="right"/>
    </w:pPr>
  </w:style>
  <w:style w:type="paragraph" w:customStyle="1" w:styleId="affffff7">
    <w:name w:val="示例后文字"/>
    <w:basedOn w:val="afffe"/>
    <w:next w:val="afffe"/>
    <w:qFormat/>
    <w:pPr>
      <w:ind w:firstLine="360"/>
    </w:pPr>
    <w:rPr>
      <w:sz w:val="18"/>
    </w:rPr>
  </w:style>
  <w:style w:type="paragraph" w:customStyle="1" w:styleId="a0">
    <w:name w:val="首示例"/>
    <w:next w:val="afffe"/>
    <w:link w:val="Char1"/>
    <w:qFormat/>
    <w:pPr>
      <w:numPr>
        <w:numId w:val="14"/>
      </w:numPr>
      <w:tabs>
        <w:tab w:val="left" w:pos="360"/>
      </w:tabs>
      <w:ind w:firstLine="0"/>
    </w:pPr>
    <w:rPr>
      <w:rFonts w:ascii="宋体" w:hAnsi="宋体"/>
      <w:kern w:val="2"/>
      <w:sz w:val="18"/>
      <w:szCs w:val="18"/>
    </w:rPr>
  </w:style>
  <w:style w:type="character" w:customStyle="1" w:styleId="Char1">
    <w:name w:val="首示例 Char"/>
    <w:link w:val="a0"/>
    <w:qFormat/>
    <w:rPr>
      <w:rFonts w:ascii="宋体" w:eastAsia="宋体" w:hAnsi="宋体" w:cs="Times New Roman"/>
      <w:sz w:val="18"/>
      <w:szCs w:val="18"/>
    </w:rPr>
  </w:style>
  <w:style w:type="paragraph" w:customStyle="1" w:styleId="affffff8">
    <w:name w:val="四级无"/>
    <w:basedOn w:val="a8"/>
    <w:qFormat/>
    <w:pPr>
      <w:spacing w:beforeLines="0" w:before="0" w:afterLines="0" w:after="0"/>
    </w:pPr>
    <w:rPr>
      <w:rFonts w:ascii="宋体" w:eastAsia="宋体"/>
    </w:rPr>
  </w:style>
  <w:style w:type="paragraph" w:customStyle="1" w:styleId="affffff9">
    <w:name w:val="条文脚注"/>
    <w:basedOn w:val="af"/>
    <w:qFormat/>
    <w:pPr>
      <w:numPr>
        <w:numId w:val="0"/>
      </w:numPr>
      <w:jc w:val="both"/>
    </w:pPr>
  </w:style>
  <w:style w:type="paragraph" w:customStyle="1" w:styleId="affffffa">
    <w:name w:val="图标脚注说明"/>
    <w:basedOn w:val="afffe"/>
    <w:qFormat/>
    <w:pPr>
      <w:ind w:left="840" w:firstLineChars="0" w:hanging="420"/>
    </w:pPr>
    <w:rPr>
      <w:sz w:val="18"/>
      <w:szCs w:val="18"/>
    </w:rPr>
  </w:style>
  <w:style w:type="paragraph" w:customStyle="1" w:styleId="a2">
    <w:name w:val="图表脚注说明"/>
    <w:basedOn w:val="aff2"/>
    <w:qFormat/>
    <w:pPr>
      <w:numPr>
        <w:numId w:val="15"/>
      </w:numPr>
    </w:pPr>
    <w:rPr>
      <w:rFonts w:ascii="宋体" w:eastAsia="宋体" w:hAnsi="Times New Roman" w:cs="Times New Roman"/>
      <w:sz w:val="18"/>
      <w:szCs w:val="18"/>
    </w:rPr>
  </w:style>
  <w:style w:type="paragraph" w:customStyle="1" w:styleId="affffffb">
    <w:name w:val="图的脚注"/>
    <w:next w:val="afffe"/>
    <w:qFormat/>
    <w:pPr>
      <w:widowControl w:val="0"/>
      <w:ind w:leftChars="200" w:left="840" w:hangingChars="200" w:hanging="420"/>
      <w:jc w:val="both"/>
    </w:pPr>
    <w:rPr>
      <w:rFonts w:ascii="宋体"/>
      <w:sz w:val="18"/>
    </w:rPr>
  </w:style>
  <w:style w:type="paragraph" w:customStyle="1" w:styleId="affffffc">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d">
    <w:name w:val="五级无"/>
    <w:basedOn w:val="a9"/>
    <w:qFormat/>
    <w:pPr>
      <w:spacing w:beforeLines="0" w:before="0" w:afterLines="0" w:after="0"/>
    </w:pPr>
    <w:rPr>
      <w:rFonts w:ascii="宋体" w:eastAsia="宋体"/>
    </w:rPr>
  </w:style>
  <w:style w:type="paragraph" w:customStyle="1" w:styleId="affffffe">
    <w:name w:val="一级无"/>
    <w:basedOn w:val="a5"/>
    <w:qFormat/>
    <w:pPr>
      <w:spacing w:beforeLines="0" w:before="0" w:afterLines="0" w:after="0"/>
    </w:pPr>
    <w:rPr>
      <w:rFonts w:ascii="宋体" w:eastAsia="宋体"/>
    </w:rPr>
  </w:style>
  <w:style w:type="paragraph" w:customStyle="1" w:styleId="af7">
    <w:name w:val="正文表标题"/>
    <w:next w:val="afffe"/>
    <w:qFormat/>
    <w:pPr>
      <w:numPr>
        <w:numId w:val="16"/>
      </w:numPr>
      <w:tabs>
        <w:tab w:val="left" w:pos="360"/>
      </w:tabs>
      <w:spacing w:beforeLines="50" w:before="50" w:afterLines="50" w:after="50"/>
      <w:ind w:left="0"/>
      <w:jc w:val="center"/>
    </w:pPr>
    <w:rPr>
      <w:rFonts w:ascii="黑体" w:eastAsia="黑体"/>
      <w:sz w:val="21"/>
    </w:rPr>
  </w:style>
  <w:style w:type="paragraph" w:customStyle="1" w:styleId="afffffff">
    <w:name w:val="正文公式编号制表符"/>
    <w:basedOn w:val="afffe"/>
    <w:next w:val="afffe"/>
    <w:qFormat/>
    <w:pPr>
      <w:ind w:firstLineChars="0" w:firstLine="0"/>
    </w:pPr>
  </w:style>
  <w:style w:type="paragraph" w:customStyle="1" w:styleId="af4">
    <w:name w:val="正文图标题"/>
    <w:next w:val="afffe"/>
    <w:qFormat/>
    <w:pPr>
      <w:numPr>
        <w:numId w:val="17"/>
      </w:numPr>
      <w:tabs>
        <w:tab w:val="left" w:pos="360"/>
      </w:tabs>
      <w:spacing w:beforeLines="50" w:before="156" w:afterLines="50" w:after="156"/>
      <w:jc w:val="center"/>
    </w:pPr>
    <w:rPr>
      <w:rFonts w:ascii="黑体" w:eastAsia="黑体"/>
      <w:sz w:val="21"/>
    </w:rPr>
  </w:style>
  <w:style w:type="paragraph" w:customStyle="1" w:styleId="afffffff0">
    <w:name w:val="终结线"/>
    <w:basedOn w:val="aff2"/>
    <w:qFormat/>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e"/>
    <w:qFormat/>
    <w:pPr>
      <w:framePr w:wrap="around" w:vAnchor="page" w:hAnchor="text" w:x="1419"/>
    </w:pPr>
  </w:style>
  <w:style w:type="paragraph" w:customStyle="1" w:styleId="afffffff2">
    <w:name w:val="其他实施日期"/>
    <w:basedOn w:val="affffff6"/>
    <w:qFormat/>
    <w:pPr>
      <w:framePr w:wrap="around"/>
    </w:pPr>
  </w:style>
  <w:style w:type="paragraph" w:customStyle="1" w:styleId="23">
    <w:name w:val="封面标准名称2"/>
    <w:basedOn w:val="afffff0"/>
    <w:qFormat/>
    <w:pPr>
      <w:framePr w:wrap="around" w:y="4469"/>
      <w:spacing w:beforeLines="630" w:before="630"/>
    </w:pPr>
  </w:style>
  <w:style w:type="paragraph" w:customStyle="1" w:styleId="24">
    <w:name w:val="封面标准英文名称2"/>
    <w:basedOn w:val="afffff1"/>
    <w:qFormat/>
    <w:pPr>
      <w:framePr w:wrap="around" w:y="4469"/>
    </w:pPr>
  </w:style>
  <w:style w:type="paragraph" w:customStyle="1" w:styleId="25">
    <w:name w:val="封面一致性程度标识2"/>
    <w:basedOn w:val="afffff2"/>
    <w:qFormat/>
    <w:pPr>
      <w:framePr w:wrap="around" w:y="4469"/>
    </w:pPr>
  </w:style>
  <w:style w:type="paragraph" w:customStyle="1" w:styleId="26">
    <w:name w:val="封面标准文稿类别2"/>
    <w:basedOn w:val="afffff3"/>
    <w:qFormat/>
    <w:pPr>
      <w:framePr w:wrap="around" w:y="4469"/>
    </w:pPr>
  </w:style>
  <w:style w:type="paragraph" w:customStyle="1" w:styleId="27">
    <w:name w:val="封面标准文稿编辑信息2"/>
    <w:basedOn w:val="afffff4"/>
    <w:qFormat/>
    <w:pPr>
      <w:framePr w:wrap="around" w:y="4469"/>
    </w:pPr>
  </w:style>
  <w:style w:type="paragraph" w:customStyle="1" w:styleId="0505">
    <w:name w:val="样式 一级条标题 + 段前: 0.5 行 段后: 0.5 行"/>
    <w:basedOn w:val="a5"/>
    <w:qFormat/>
    <w:pPr>
      <w:numPr>
        <w:numId w:val="1"/>
      </w:numPr>
      <w:tabs>
        <w:tab w:val="left" w:pos="0"/>
      </w:tabs>
      <w:spacing w:before="50" w:after="50"/>
    </w:pPr>
    <w:rPr>
      <w:rFonts w:cs="宋体"/>
      <w:szCs w:val="20"/>
    </w:rPr>
  </w:style>
  <w:style w:type="character" w:customStyle="1" w:styleId="affe">
    <w:name w:val="批注框文本 字符"/>
    <w:basedOn w:val="aff3"/>
    <w:link w:val="affd"/>
    <w:qFormat/>
    <w:rPr>
      <w:rFonts w:ascii="Times New Roman" w:eastAsia="宋体" w:hAnsi="Times New Roman" w:cs="Times New Roman"/>
      <w:sz w:val="18"/>
      <w:szCs w:val="18"/>
      <w:lang w:val="zh-CN" w:eastAsia="zh-CN"/>
    </w:rPr>
  </w:style>
  <w:style w:type="character" w:styleId="afffffff3">
    <w:name w:val="Placeholder Text"/>
    <w:basedOn w:val="aff3"/>
    <w:uiPriority w:val="99"/>
    <w:unhideWhenUsed/>
    <w:qFormat/>
    <w:rPr>
      <w:color w:val="808080"/>
    </w:rPr>
  </w:style>
  <w:style w:type="paragraph" w:customStyle="1" w:styleId="afffffff4">
    <w:name w:val="右"/>
    <w:basedOn w:val="afffe"/>
    <w:qFormat/>
    <w:pPr>
      <w:adjustRightInd w:val="0"/>
      <w:snapToGrid w:val="0"/>
      <w:spacing w:line="360" w:lineRule="auto"/>
      <w:ind w:firstLineChars="0" w:firstLine="0"/>
      <w:jc w:val="right"/>
    </w:pPr>
  </w:style>
  <w:style w:type="paragraph" w:customStyle="1" w:styleId="2">
    <w:name w:val="附录标标题2"/>
    <w:basedOn w:val="af6"/>
    <w:qFormat/>
    <w:pPr>
      <w:numPr>
        <w:ilvl w:val="0"/>
        <w:numId w:val="18"/>
      </w:numPr>
      <w:spacing w:before="156" w:after="156"/>
    </w:pPr>
  </w:style>
  <w:style w:type="paragraph" w:styleId="afffffff5">
    <w:name w:val="List Paragraph"/>
    <w:basedOn w:val="aff2"/>
    <w:uiPriority w:val="99"/>
    <w:qFormat/>
    <w:pPr>
      <w:ind w:firstLineChars="200" w:firstLine="420"/>
    </w:pPr>
  </w:style>
  <w:style w:type="character" w:customStyle="1" w:styleId="affa">
    <w:name w:val="批注文字 字符"/>
    <w:basedOn w:val="aff3"/>
    <w:link w:val="aff9"/>
    <w:uiPriority w:val="99"/>
    <w:semiHidden/>
    <w:qFormat/>
    <w:rPr>
      <w:kern w:val="2"/>
      <w:sz w:val="21"/>
      <w:szCs w:val="22"/>
    </w:rPr>
  </w:style>
  <w:style w:type="character" w:customStyle="1" w:styleId="afff6">
    <w:name w:val="批注主题 字符"/>
    <w:basedOn w:val="affa"/>
    <w:link w:val="afff5"/>
    <w:uiPriority w:val="99"/>
    <w:semiHidden/>
    <w:qFormat/>
    <w:rPr>
      <w:b/>
      <w:bCs/>
      <w:kern w:val="2"/>
      <w:sz w:val="21"/>
      <w:szCs w:val="2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afffffff6">
    <w:name w:val="标准文件_段"/>
    <w:qFormat/>
    <w:pPr>
      <w:autoSpaceDE w:val="0"/>
      <w:autoSpaceDN w:val="0"/>
      <w:ind w:firstLineChars="200" w:firstLine="200"/>
      <w:jc w:val="both"/>
    </w:pPr>
    <w:rPr>
      <w:rFonts w:ascii="宋体"/>
      <w:sz w:val="21"/>
      <w:lang w:eastAsia="ja-JP"/>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28">
    <w:name w:val="修订2"/>
    <w:hidden/>
    <w:uiPriority w:val="99"/>
    <w:unhideWhenUsed/>
    <w:qFormat/>
    <w:rPr>
      <w:rFonts w:asciiTheme="minorHAnsi" w:eastAsiaTheme="minorEastAsia" w:hAnsiTheme="minorHAnsi" w:cstheme="minorBidi"/>
      <w:kern w:val="2"/>
      <w:sz w:val="21"/>
      <w:szCs w:val="22"/>
    </w:rPr>
  </w:style>
  <w:style w:type="paragraph" w:customStyle="1" w:styleId="30">
    <w:name w:val="修订3"/>
    <w:hidden/>
    <w:uiPriority w:val="99"/>
    <w:unhideWhenUsed/>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3984</Words>
  <Characters>4582</Characters>
  <Application>Microsoft Office Word</Application>
  <DocSecurity>0</DocSecurity>
  <Lines>269</Lines>
  <Paragraphs>407</Paragraphs>
  <ScaleCrop>false</ScaleCrop>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Yan.Y FU.</cp:lastModifiedBy>
  <cp:revision>6</cp:revision>
  <cp:lastPrinted>2024-04-27T02:58:00Z</cp:lastPrinted>
  <dcterms:created xsi:type="dcterms:W3CDTF">2025-03-19T06:39:00Z</dcterms:created>
  <dcterms:modified xsi:type="dcterms:W3CDTF">2025-04-07T06:46:00Z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6FDE52C9BE81460AB43DBE60BB827998_13</vt:lpwstr>
  </property>
  <property fmtid="{D5CDD505-2E9C-101B-9397-08002B2CF9AE}" pid="4" name="MTWinEqns">
    <vt:bool>true</vt:bool>
  </property>
  <property fmtid="{D5CDD505-2E9C-101B-9397-08002B2CF9AE}" pid="5" name="KSOTemplateDocerSaveRecord">
    <vt:lpwstr>eyJoZGlkIjoiNzcwOTQ4YWY0MzQ5MTgzYjFiY2VkYWNkMjE0NGZmZTIiLCJ1c2VySWQiOiIyNDMzNzI1MjUifQ==</vt:lpwstr>
  </property>
</Properties>
</file>